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b/>
          <w:sz w:val="32"/>
          <w:szCs w:val="32"/>
        </w:rPr>
      </w:pPr>
    </w:p>
    <w:p>
      <w:pPr>
        <w:jc w:val="center"/>
        <w:rPr>
          <w:rFonts w:ascii="宋体"/>
          <w:b/>
          <w:sz w:val="32"/>
          <w:szCs w:val="32"/>
        </w:rPr>
      </w:pPr>
    </w:p>
    <w:p>
      <w:pPr>
        <w:jc w:val="center"/>
        <w:rPr>
          <w:rFonts w:ascii="宋体"/>
          <w:b/>
          <w:sz w:val="32"/>
          <w:szCs w:val="32"/>
        </w:rPr>
      </w:pPr>
    </w:p>
    <w:p>
      <w:pPr>
        <w:spacing w:line="360" w:lineRule="auto"/>
        <w:jc w:val="center"/>
        <w:rPr>
          <w:rFonts w:ascii="黑体" w:eastAsia="黑体" w:hAnsiTheme="minorHAnsi" w:cstheme="minorBidi"/>
          <w:b/>
          <w:kern w:val="22"/>
          <w:sz w:val="44"/>
          <w:szCs w:val="44"/>
        </w:rPr>
      </w:pPr>
      <w:r>
        <w:rPr>
          <w:rFonts w:hint="eastAsia" w:ascii="黑体" w:eastAsia="黑体" w:hAnsiTheme="minorHAnsi" w:cstheme="minorBidi"/>
          <w:b/>
          <w:kern w:val="22"/>
          <w:sz w:val="44"/>
          <w:szCs w:val="44"/>
        </w:rPr>
        <w:t>山西省地方标准</w:t>
      </w:r>
    </w:p>
    <w:p>
      <w:pPr>
        <w:spacing w:line="360" w:lineRule="auto"/>
        <w:jc w:val="center"/>
        <w:rPr>
          <w:rFonts w:ascii="黑体" w:eastAsia="黑体" w:hAnsiTheme="minorHAnsi" w:cstheme="minorBidi"/>
          <w:b/>
          <w:kern w:val="22"/>
          <w:sz w:val="44"/>
          <w:szCs w:val="44"/>
        </w:rPr>
      </w:pPr>
      <w:r>
        <w:rPr>
          <w:rFonts w:hint="eastAsia" w:ascii="黑体" w:eastAsia="黑体" w:hAnsiTheme="minorHAnsi" w:cstheme="minorBidi"/>
          <w:b/>
          <w:kern w:val="22"/>
          <w:sz w:val="44"/>
          <w:szCs w:val="44"/>
        </w:rPr>
        <w:t>《</w:t>
      </w:r>
      <w:r>
        <w:rPr>
          <w:rFonts w:hint="eastAsia" w:ascii="黑体" w:hAnsi="宋体" w:eastAsia="黑体" w:cs="宋体"/>
          <w:b/>
          <w:spacing w:val="-6"/>
          <w:kern w:val="0"/>
          <w:sz w:val="48"/>
          <w:szCs w:val="48"/>
        </w:rPr>
        <w:t>设施春白菜栽培</w:t>
      </w:r>
      <w:r>
        <w:rPr>
          <w:rFonts w:hint="eastAsia" w:ascii="黑体" w:eastAsia="黑体" w:hAnsiTheme="minorHAnsi" w:cstheme="minorBidi"/>
          <w:b/>
          <w:kern w:val="22"/>
          <w:sz w:val="44"/>
          <w:szCs w:val="44"/>
        </w:rPr>
        <w:t>技术规程》</w:t>
      </w:r>
    </w:p>
    <w:p>
      <w:pPr>
        <w:spacing w:line="360" w:lineRule="auto"/>
        <w:jc w:val="center"/>
        <w:rPr>
          <w:rFonts w:ascii="黑体" w:eastAsia="黑体" w:hAnsiTheme="minorHAnsi" w:cstheme="minorBidi"/>
          <w:b/>
          <w:kern w:val="22"/>
          <w:sz w:val="44"/>
          <w:szCs w:val="44"/>
        </w:rPr>
      </w:pPr>
      <w:r>
        <w:rPr>
          <w:rFonts w:hint="eastAsia" w:ascii="黑体" w:eastAsia="黑体" w:hAnsiTheme="minorHAnsi" w:cstheme="minorBidi"/>
          <w:b/>
          <w:kern w:val="22"/>
          <w:sz w:val="44"/>
          <w:szCs w:val="44"/>
        </w:rPr>
        <w:t>编制说明</w:t>
      </w: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jc w:val="center"/>
        <w:rPr>
          <w:rFonts w:ascii="仿宋" w:hAnsi="仿宋" w:eastAsia="仿宋"/>
          <w:b/>
          <w:sz w:val="32"/>
          <w:szCs w:val="32"/>
        </w:rPr>
      </w:pPr>
    </w:p>
    <w:p>
      <w:pPr>
        <w:ind w:firstLine="642" w:firstLineChars="200"/>
        <w:jc w:val="center"/>
        <w:rPr>
          <w:rFonts w:ascii="宋体"/>
          <w:b/>
          <w:sz w:val="32"/>
          <w:szCs w:val="32"/>
        </w:rPr>
      </w:pPr>
    </w:p>
    <w:p>
      <w:pPr>
        <w:ind w:firstLine="642" w:firstLineChars="200"/>
        <w:jc w:val="center"/>
        <w:rPr>
          <w:rFonts w:ascii="宋体"/>
          <w:b/>
          <w:sz w:val="32"/>
          <w:szCs w:val="32"/>
        </w:rPr>
      </w:pPr>
    </w:p>
    <w:p>
      <w:pPr>
        <w:ind w:firstLine="642" w:firstLineChars="200"/>
        <w:jc w:val="center"/>
        <w:rPr>
          <w:rFonts w:ascii="宋体"/>
          <w:b/>
          <w:sz w:val="32"/>
          <w:szCs w:val="32"/>
        </w:rPr>
      </w:pPr>
    </w:p>
    <w:p>
      <w:pPr>
        <w:spacing w:line="360" w:lineRule="auto"/>
        <w:jc w:val="center"/>
        <w:rPr>
          <w:rFonts w:ascii="宋体" w:hAnsi="宋体"/>
          <w:b/>
          <w:kern w:val="22"/>
          <w:sz w:val="10"/>
          <w:szCs w:val="10"/>
        </w:rPr>
      </w:pPr>
      <w:r>
        <w:rPr>
          <w:rFonts w:hint="eastAsia" w:ascii="宋体" w:hAnsi="宋体"/>
          <w:b/>
          <w:kern w:val="22"/>
          <w:sz w:val="32"/>
          <w:szCs w:val="32"/>
        </w:rPr>
        <w:t>编制单位：山西农业大学</w:t>
      </w:r>
    </w:p>
    <w:p>
      <w:pPr>
        <w:jc w:val="center"/>
        <w:rPr>
          <w:rFonts w:ascii="宋体" w:hAnsi="宋体"/>
          <w:b/>
          <w:sz w:val="32"/>
          <w:szCs w:val="32"/>
        </w:rPr>
      </w:pPr>
      <w:r>
        <w:rPr>
          <w:rFonts w:hint="eastAsia" w:ascii="宋体" w:hAnsi="宋体"/>
          <w:b/>
          <w:sz w:val="32"/>
          <w:szCs w:val="32"/>
        </w:rPr>
        <w:t xml:space="preserve"> 二〇二四年三月</w:t>
      </w:r>
    </w:p>
    <w:p>
      <w:pPr>
        <w:jc w:val="center"/>
        <w:rPr>
          <w:rFonts w:ascii="宋体" w:hAnsi="宋体"/>
          <w:b/>
          <w:sz w:val="32"/>
          <w:szCs w:val="32"/>
        </w:rPr>
      </w:pPr>
    </w:p>
    <w:p>
      <w:pPr>
        <w:jc w:val="center"/>
        <w:rPr>
          <w:rFonts w:ascii="宋体" w:hAnsi="宋体"/>
          <w:b/>
          <w:sz w:val="32"/>
          <w:szCs w:val="32"/>
        </w:rPr>
      </w:pPr>
    </w:p>
    <w:p>
      <w:pPr>
        <w:jc w:val="center"/>
        <w:rPr>
          <w:rFonts w:ascii="宋体" w:hAnsi="宋体"/>
          <w:b/>
          <w:sz w:val="32"/>
          <w:szCs w:val="32"/>
        </w:rPr>
      </w:pPr>
    </w:p>
    <w:p>
      <w:pPr>
        <w:spacing w:line="520" w:lineRule="exact"/>
        <w:jc w:val="center"/>
        <w:rPr>
          <w:rFonts w:ascii="宋体"/>
          <w:b/>
          <w:sz w:val="30"/>
          <w:szCs w:val="30"/>
        </w:rPr>
      </w:pPr>
      <w:r>
        <w:rPr>
          <w:rFonts w:hint="eastAsia" w:ascii="宋体" w:hAnsi="宋体"/>
          <w:b/>
          <w:sz w:val="30"/>
          <w:szCs w:val="30"/>
        </w:rPr>
        <w:t>山西省地方标准</w:t>
      </w:r>
    </w:p>
    <w:p>
      <w:pPr>
        <w:spacing w:line="520" w:lineRule="exact"/>
        <w:jc w:val="center"/>
        <w:rPr>
          <w:rFonts w:ascii="宋体"/>
          <w:b/>
          <w:sz w:val="30"/>
          <w:szCs w:val="30"/>
        </w:rPr>
      </w:pPr>
      <w:r>
        <w:rPr>
          <w:rFonts w:hint="eastAsia" w:ascii="宋体" w:hAnsi="宋体"/>
          <w:b/>
          <w:sz w:val="30"/>
          <w:szCs w:val="30"/>
        </w:rPr>
        <w:t>《设施春白菜栽培技术规程》</w:t>
      </w:r>
    </w:p>
    <w:p>
      <w:pPr>
        <w:spacing w:line="520" w:lineRule="exact"/>
        <w:jc w:val="center"/>
        <w:rPr>
          <w:rFonts w:ascii="宋体" w:hAnsi="宋体"/>
          <w:b/>
          <w:sz w:val="30"/>
          <w:szCs w:val="30"/>
        </w:rPr>
      </w:pPr>
      <w:r>
        <w:rPr>
          <w:rFonts w:hint="eastAsia" w:ascii="宋体" w:hAnsi="宋体"/>
          <w:b/>
          <w:sz w:val="30"/>
          <w:szCs w:val="30"/>
        </w:rPr>
        <w:t>编制说明</w:t>
      </w:r>
    </w:p>
    <w:p>
      <w:pPr>
        <w:spacing w:line="520" w:lineRule="exact"/>
        <w:jc w:val="center"/>
        <w:rPr>
          <w:rFonts w:ascii="宋体" w:hAnsi="宋体"/>
          <w:b/>
          <w:sz w:val="30"/>
          <w:szCs w:val="30"/>
        </w:rPr>
      </w:pPr>
    </w:p>
    <w:p>
      <w:pPr>
        <w:spacing w:line="360" w:lineRule="auto"/>
        <w:ind w:firstLine="480" w:firstLineChars="200"/>
        <w:outlineLvl w:val="0"/>
        <w:rPr>
          <w:rFonts w:ascii="黑体" w:eastAsia="黑体"/>
          <w:sz w:val="24"/>
        </w:rPr>
      </w:pPr>
      <w:r>
        <w:rPr>
          <w:rFonts w:hint="eastAsia" w:ascii="黑体" w:eastAsia="黑体"/>
          <w:sz w:val="24"/>
        </w:rPr>
        <w:t>一、工作简况</w:t>
      </w:r>
    </w:p>
    <w:p>
      <w:pPr>
        <w:spacing w:line="360" w:lineRule="auto"/>
        <w:ind w:left="465"/>
        <w:outlineLvl w:val="1"/>
        <w:rPr>
          <w:rFonts w:ascii="楷体_GB2312" w:eastAsia="楷体_GB2312"/>
          <w:sz w:val="24"/>
        </w:rPr>
      </w:pPr>
      <w:r>
        <w:rPr>
          <w:rFonts w:hint="eastAsia" w:ascii="楷体_GB2312" w:eastAsia="楷体_GB2312"/>
          <w:sz w:val="24"/>
        </w:rPr>
        <w:t>1任务来源</w:t>
      </w:r>
    </w:p>
    <w:p>
      <w:pPr>
        <w:spacing w:line="360" w:lineRule="auto"/>
        <w:ind w:firstLine="480" w:firstLineChars="200"/>
        <w:jc w:val="left"/>
        <w:outlineLvl w:val="1"/>
        <w:rPr>
          <w:rFonts w:ascii="仿宋_GB2312" w:hAnsi="宋体" w:eastAsia="仿宋_GB2312"/>
          <w:sz w:val="24"/>
        </w:rPr>
      </w:pPr>
      <w:r>
        <w:rPr>
          <w:rFonts w:hint="eastAsia" w:ascii="仿宋_GB2312" w:hAnsi="宋体" w:eastAsia="仿宋_GB2312"/>
          <w:sz w:val="24"/>
        </w:rPr>
        <w:t>按照山西省市场监督管理局关于2022年度省级地方标准复审结论公告（山西省地方标准公告2022年第20号），《设施春白菜高效栽培技术规程》DB14/T 1372—2017被列入山西省地方标准修订计划，本标准由山西省农业标准化技术委员会（SXS/TC19）归口。</w:t>
      </w:r>
    </w:p>
    <w:p>
      <w:pPr>
        <w:spacing w:line="360" w:lineRule="auto"/>
        <w:ind w:left="465"/>
        <w:outlineLvl w:val="1"/>
        <w:rPr>
          <w:rFonts w:ascii="楷体_GB2312" w:eastAsia="楷体_GB2312"/>
          <w:sz w:val="24"/>
        </w:rPr>
      </w:pPr>
      <w:r>
        <w:rPr>
          <w:rFonts w:hint="eastAsia" w:ascii="楷体_GB2312" w:eastAsia="楷体_GB2312"/>
          <w:sz w:val="24"/>
        </w:rPr>
        <w:t>2 起草</w:t>
      </w:r>
      <w:r>
        <w:rPr>
          <w:rFonts w:ascii="楷体_GB2312" w:eastAsia="楷体_GB2312"/>
          <w:sz w:val="24"/>
        </w:rPr>
        <w:t>单位和主要起草人</w:t>
      </w:r>
    </w:p>
    <w:p>
      <w:pPr>
        <w:spacing w:line="360" w:lineRule="auto"/>
        <w:ind w:firstLine="480" w:firstLineChars="200"/>
        <w:jc w:val="left"/>
        <w:outlineLvl w:val="1"/>
        <w:rPr>
          <w:rFonts w:ascii="仿宋_GB2312" w:hAnsi="宋体" w:eastAsia="仿宋_GB2312"/>
          <w:sz w:val="24"/>
        </w:rPr>
      </w:pPr>
      <w:r>
        <w:rPr>
          <w:rFonts w:ascii="仿宋_GB2312" w:hAnsi="宋体" w:eastAsia="仿宋_GB2312"/>
          <w:sz w:val="24"/>
        </w:rPr>
        <w:t>起草任务由</w:t>
      </w:r>
      <w:r>
        <w:rPr>
          <w:rFonts w:hint="eastAsia" w:ascii="仿宋_GB2312" w:hAnsi="宋体" w:eastAsia="仿宋_GB2312"/>
          <w:sz w:val="24"/>
        </w:rPr>
        <w:t>山西农业大学承担</w:t>
      </w:r>
      <w:r>
        <w:rPr>
          <w:rFonts w:ascii="仿宋_GB2312" w:hAnsi="宋体" w:eastAsia="仿宋_GB2312"/>
          <w:sz w:val="24"/>
        </w:rPr>
        <w:t>。</w:t>
      </w:r>
    </w:p>
    <w:p>
      <w:pPr>
        <w:spacing w:line="360" w:lineRule="auto"/>
        <w:ind w:firstLine="480" w:firstLineChars="200"/>
        <w:jc w:val="center"/>
        <w:outlineLvl w:val="1"/>
        <w:rPr>
          <w:rFonts w:ascii="仿宋_GB2312" w:hAnsi="宋体" w:eastAsia="仿宋_GB2312"/>
          <w:sz w:val="24"/>
        </w:rPr>
      </w:pPr>
      <w:r>
        <w:rPr>
          <w:rFonts w:ascii="仿宋_GB2312" w:hAnsi="宋体" w:eastAsia="仿宋_GB2312"/>
          <w:sz w:val="24"/>
        </w:rPr>
        <w:t>主要起草人信息</w:t>
      </w:r>
    </w:p>
    <w:tbl>
      <w:tblPr>
        <w:tblStyle w:val="13"/>
        <w:tblW w:w="86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2"/>
        <w:gridCol w:w="852"/>
        <w:gridCol w:w="1718"/>
        <w:gridCol w:w="3277"/>
        <w:gridCol w:w="1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spacing w:line="400" w:lineRule="exact"/>
              <w:jc w:val="center"/>
              <w:rPr>
                <w:rFonts w:ascii="仿宋" w:hAnsi="仿宋" w:eastAsia="仿宋" w:cs="Courier New"/>
                <w:sz w:val="24"/>
              </w:rPr>
            </w:pPr>
            <w:r>
              <w:rPr>
                <w:rFonts w:hint="eastAsia" w:ascii="仿宋" w:hAnsi="仿宋" w:eastAsia="仿宋" w:cs="Courier New"/>
                <w:sz w:val="24"/>
              </w:rPr>
              <w:t>姓名</w:t>
            </w:r>
          </w:p>
        </w:tc>
        <w:tc>
          <w:tcPr>
            <w:tcW w:w="852" w:type="dxa"/>
          </w:tcPr>
          <w:p>
            <w:pPr>
              <w:spacing w:line="400" w:lineRule="exact"/>
              <w:jc w:val="center"/>
              <w:rPr>
                <w:rFonts w:ascii="仿宋" w:hAnsi="仿宋" w:eastAsia="仿宋" w:cs="Courier New"/>
                <w:sz w:val="24"/>
              </w:rPr>
            </w:pPr>
            <w:r>
              <w:rPr>
                <w:rFonts w:hint="eastAsia" w:ascii="仿宋" w:hAnsi="仿宋" w:eastAsia="仿宋" w:cs="Courier New"/>
                <w:sz w:val="24"/>
              </w:rPr>
              <w:t>性别</w:t>
            </w:r>
          </w:p>
        </w:tc>
        <w:tc>
          <w:tcPr>
            <w:tcW w:w="1718" w:type="dxa"/>
          </w:tcPr>
          <w:p>
            <w:pPr>
              <w:spacing w:line="400" w:lineRule="exact"/>
              <w:jc w:val="center"/>
              <w:rPr>
                <w:rFonts w:ascii="仿宋" w:hAnsi="仿宋" w:eastAsia="仿宋" w:cs="Courier New"/>
                <w:sz w:val="24"/>
              </w:rPr>
            </w:pPr>
            <w:r>
              <w:rPr>
                <w:rFonts w:hint="eastAsia" w:ascii="仿宋" w:hAnsi="仿宋" w:eastAsia="仿宋" w:cs="Courier New"/>
                <w:sz w:val="24"/>
              </w:rPr>
              <w:t>职务/职称</w:t>
            </w:r>
          </w:p>
        </w:tc>
        <w:tc>
          <w:tcPr>
            <w:tcW w:w="3277" w:type="dxa"/>
          </w:tcPr>
          <w:p>
            <w:pPr>
              <w:spacing w:line="400" w:lineRule="exact"/>
              <w:jc w:val="center"/>
              <w:rPr>
                <w:rFonts w:ascii="仿宋" w:hAnsi="仿宋" w:eastAsia="仿宋" w:cs="Courier New"/>
                <w:sz w:val="24"/>
              </w:rPr>
            </w:pPr>
            <w:r>
              <w:rPr>
                <w:rFonts w:hint="eastAsia" w:ascii="仿宋" w:hAnsi="仿宋" w:eastAsia="仿宋" w:cs="Courier New"/>
                <w:sz w:val="24"/>
              </w:rPr>
              <w:t>工作单位</w:t>
            </w:r>
          </w:p>
        </w:tc>
        <w:tc>
          <w:tcPr>
            <w:tcW w:w="1582" w:type="dxa"/>
          </w:tcPr>
          <w:p>
            <w:pPr>
              <w:spacing w:line="400" w:lineRule="exact"/>
              <w:jc w:val="center"/>
              <w:rPr>
                <w:rFonts w:ascii="仿宋" w:hAnsi="仿宋" w:eastAsia="仿宋" w:cs="Courier New"/>
                <w:sz w:val="24"/>
              </w:rPr>
            </w:pPr>
            <w:r>
              <w:rPr>
                <w:rFonts w:hint="eastAsia" w:ascii="仿宋" w:hAnsi="仿宋" w:eastAsia="仿宋" w:cs="Courier New"/>
                <w:sz w:val="24"/>
              </w:rPr>
              <w:t>任务分工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242"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李改珍</w:t>
            </w:r>
          </w:p>
        </w:tc>
        <w:tc>
          <w:tcPr>
            <w:tcW w:w="852"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女</w:t>
            </w:r>
          </w:p>
        </w:tc>
        <w:tc>
          <w:tcPr>
            <w:tcW w:w="1718"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研究员</w:t>
            </w:r>
          </w:p>
        </w:tc>
        <w:tc>
          <w:tcPr>
            <w:tcW w:w="3277"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山西农业大学</w:t>
            </w:r>
          </w:p>
        </w:tc>
        <w:tc>
          <w:tcPr>
            <w:tcW w:w="1582"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全文修订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齐仙惠</w:t>
            </w:r>
          </w:p>
        </w:tc>
        <w:tc>
          <w:tcPr>
            <w:tcW w:w="852"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女</w:t>
            </w:r>
          </w:p>
        </w:tc>
        <w:tc>
          <w:tcPr>
            <w:tcW w:w="1718"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副研究员</w:t>
            </w:r>
          </w:p>
        </w:tc>
        <w:tc>
          <w:tcPr>
            <w:tcW w:w="3277"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山西农业大学</w:t>
            </w:r>
          </w:p>
        </w:tc>
        <w:tc>
          <w:tcPr>
            <w:tcW w:w="1582"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栽培技术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Align w:val="center"/>
          </w:tcPr>
          <w:p>
            <w:pPr>
              <w:spacing w:line="400" w:lineRule="exact"/>
              <w:jc w:val="center"/>
              <w:rPr>
                <w:rFonts w:hint="eastAsia" w:ascii="仿宋" w:hAnsi="仿宋" w:eastAsia="仿宋" w:cs="Courier New"/>
                <w:sz w:val="24"/>
              </w:rPr>
            </w:pPr>
            <w:bookmarkStart w:id="0" w:name="_GoBack" w:colFirst="0" w:colLast="4"/>
            <w:r>
              <w:rPr>
                <w:rFonts w:hint="eastAsia" w:ascii="仿宋" w:hAnsi="仿宋" w:eastAsia="仿宋" w:cs="Courier New"/>
                <w:sz w:val="24"/>
                <w:lang w:val="en-US" w:eastAsia="zh-CN"/>
              </w:rPr>
              <w:t>张晓鹏</w:t>
            </w:r>
          </w:p>
        </w:tc>
        <w:tc>
          <w:tcPr>
            <w:tcW w:w="852" w:type="dxa"/>
            <w:vAlign w:val="center"/>
          </w:tcPr>
          <w:p>
            <w:pPr>
              <w:spacing w:line="400" w:lineRule="exact"/>
              <w:jc w:val="center"/>
              <w:rPr>
                <w:rFonts w:hint="eastAsia" w:ascii="仿宋" w:hAnsi="仿宋" w:eastAsia="仿宋" w:cs="Courier New"/>
                <w:sz w:val="24"/>
              </w:rPr>
            </w:pPr>
            <w:r>
              <w:rPr>
                <w:rFonts w:hint="eastAsia" w:ascii="仿宋" w:hAnsi="仿宋" w:eastAsia="仿宋" w:cs="Courier New"/>
                <w:sz w:val="24"/>
                <w:lang w:eastAsia="zh-CN"/>
              </w:rPr>
              <w:t>男</w:t>
            </w:r>
          </w:p>
        </w:tc>
        <w:tc>
          <w:tcPr>
            <w:tcW w:w="1718" w:type="dxa"/>
            <w:vAlign w:val="center"/>
          </w:tcPr>
          <w:p>
            <w:pPr>
              <w:spacing w:line="400" w:lineRule="exact"/>
              <w:jc w:val="center"/>
              <w:rPr>
                <w:rFonts w:hint="eastAsia" w:ascii="仿宋" w:hAnsi="仿宋" w:eastAsia="仿宋" w:cs="Courier New"/>
                <w:sz w:val="24"/>
              </w:rPr>
            </w:pPr>
            <w:r>
              <w:rPr>
                <w:rFonts w:hint="eastAsia" w:ascii="仿宋" w:hAnsi="仿宋" w:eastAsia="仿宋" w:cs="Courier New"/>
                <w:sz w:val="24"/>
                <w:lang w:eastAsia="zh-CN"/>
              </w:rPr>
              <w:t>高级农艺师</w:t>
            </w:r>
          </w:p>
        </w:tc>
        <w:tc>
          <w:tcPr>
            <w:tcW w:w="3277" w:type="dxa"/>
            <w:vAlign w:val="center"/>
          </w:tcPr>
          <w:p>
            <w:pPr>
              <w:spacing w:line="400" w:lineRule="exact"/>
              <w:jc w:val="center"/>
              <w:rPr>
                <w:rFonts w:hint="eastAsia" w:ascii="仿宋" w:hAnsi="仿宋" w:eastAsia="仿宋" w:cs="Courier New"/>
                <w:sz w:val="24"/>
              </w:rPr>
            </w:pPr>
            <w:r>
              <w:rPr>
                <w:rFonts w:hint="eastAsia" w:ascii="仿宋" w:hAnsi="仿宋" w:eastAsia="仿宋" w:cs="Courier New"/>
                <w:sz w:val="24"/>
                <w:lang w:eastAsia="zh-CN"/>
              </w:rPr>
              <w:t>山西省三农政策研究中心</w:t>
            </w:r>
          </w:p>
        </w:tc>
        <w:tc>
          <w:tcPr>
            <w:tcW w:w="1582" w:type="dxa"/>
            <w:vAlign w:val="center"/>
          </w:tcPr>
          <w:p>
            <w:pPr>
              <w:spacing w:line="400" w:lineRule="exact"/>
              <w:jc w:val="center"/>
              <w:rPr>
                <w:rFonts w:hint="eastAsia" w:ascii="仿宋" w:hAnsi="仿宋" w:eastAsia="仿宋" w:cs="Courier New"/>
                <w:sz w:val="24"/>
              </w:rPr>
            </w:pPr>
            <w:r>
              <w:rPr>
                <w:rFonts w:hint="eastAsia" w:ascii="仿宋" w:hAnsi="仿宋" w:eastAsia="仿宋" w:cs="Courier New"/>
                <w:sz w:val="24"/>
                <w:lang w:eastAsia="zh-CN"/>
              </w:rPr>
              <w:t>技术指导</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王小军</w:t>
            </w:r>
          </w:p>
        </w:tc>
        <w:tc>
          <w:tcPr>
            <w:tcW w:w="852"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男</w:t>
            </w:r>
          </w:p>
        </w:tc>
        <w:tc>
          <w:tcPr>
            <w:tcW w:w="1718"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农艺师</w:t>
            </w:r>
          </w:p>
        </w:tc>
        <w:tc>
          <w:tcPr>
            <w:tcW w:w="3277"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山西省园艺产业发展中心</w:t>
            </w:r>
          </w:p>
        </w:tc>
        <w:tc>
          <w:tcPr>
            <w:tcW w:w="1582"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病虫害指导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李思蓓</w:t>
            </w:r>
          </w:p>
        </w:tc>
        <w:tc>
          <w:tcPr>
            <w:tcW w:w="852"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女</w:t>
            </w:r>
          </w:p>
        </w:tc>
        <w:tc>
          <w:tcPr>
            <w:tcW w:w="1718"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助理研究员</w:t>
            </w:r>
          </w:p>
        </w:tc>
        <w:tc>
          <w:tcPr>
            <w:tcW w:w="3277"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山西农业大学</w:t>
            </w:r>
          </w:p>
        </w:tc>
        <w:tc>
          <w:tcPr>
            <w:tcW w:w="1582"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育苗技术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吕甜甜</w:t>
            </w:r>
          </w:p>
        </w:tc>
        <w:tc>
          <w:tcPr>
            <w:tcW w:w="852"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女</w:t>
            </w:r>
          </w:p>
        </w:tc>
        <w:tc>
          <w:tcPr>
            <w:tcW w:w="1718"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助理研究员</w:t>
            </w:r>
          </w:p>
        </w:tc>
        <w:tc>
          <w:tcPr>
            <w:tcW w:w="3277"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山西农业大学</w:t>
            </w:r>
          </w:p>
        </w:tc>
        <w:tc>
          <w:tcPr>
            <w:tcW w:w="1582"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田间管理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王秀英</w:t>
            </w:r>
          </w:p>
        </w:tc>
        <w:tc>
          <w:tcPr>
            <w:tcW w:w="852"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女</w:t>
            </w:r>
          </w:p>
        </w:tc>
        <w:tc>
          <w:tcPr>
            <w:tcW w:w="1718"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研究员</w:t>
            </w:r>
          </w:p>
        </w:tc>
        <w:tc>
          <w:tcPr>
            <w:tcW w:w="3277"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山西农业大学</w:t>
            </w:r>
          </w:p>
        </w:tc>
        <w:tc>
          <w:tcPr>
            <w:tcW w:w="1582"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文件编校</w:t>
            </w:r>
          </w:p>
        </w:tc>
      </w:tr>
    </w:tbl>
    <w:p>
      <w:pPr>
        <w:spacing w:line="360" w:lineRule="auto"/>
        <w:ind w:firstLine="480" w:firstLineChars="200"/>
        <w:outlineLvl w:val="0"/>
        <w:rPr>
          <w:rFonts w:ascii="楷体" w:hAnsi="楷体" w:eastAsia="楷体" w:cs="Courier New"/>
          <w:sz w:val="28"/>
          <w:szCs w:val="28"/>
        </w:rPr>
      </w:pPr>
      <w:r>
        <w:rPr>
          <w:rFonts w:ascii="黑体" w:eastAsia="黑体"/>
          <w:sz w:val="24"/>
        </w:rPr>
        <w:t>二、</w:t>
      </w:r>
      <w:r>
        <w:rPr>
          <w:rFonts w:hint="eastAsia" w:ascii="黑体" w:eastAsia="黑体"/>
          <w:sz w:val="24"/>
        </w:rPr>
        <w:t>修</w:t>
      </w:r>
      <w:r>
        <w:rPr>
          <w:rFonts w:ascii="黑体" w:eastAsia="黑体"/>
          <w:sz w:val="24"/>
        </w:rPr>
        <w:t>订标准的必要性和意义</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近年来我国设施蔬菜产业快速发展，设施蔬菜产量和种植面积逐年上升，不仅成为群众“菜篮子”产品供应的重要保障，更是农民增收的新亮点。作为消费者餐桌上“当家菜”的大白菜也开始由单一秋季露地栽培向周年栽培、设施栽培发展。尤其是春季设施栽培，由于产值较高，在部分地区已成为蔬菜生产的新兴产业。但是由于春白菜特殊的生物学特性，对生产条件要求较高：种植时间过早，前期低温易造成先期抽薹影响商品性；种植时间过晚，后期高温易导致不结球或病虫害的发生，这些都影响了春白菜的产值。因此，需要制定设施春白菜栽培技术规程，以实现春季大白菜规范化、标准化、科学化的生产。</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随着生产技术的进步，原《设施春白菜高效栽培技术规程》在规范性引用文件、育苗方式、田间管理、病虫害防治等方面存在一定滞后性。为更好的指导生产，降低农民种植风险，提升种植效益，也为我省建设标准化、规模化、集约化、机械化的设施生产基地提供技术支撑，特提出修订本标准。</w:t>
      </w:r>
    </w:p>
    <w:p>
      <w:pPr>
        <w:spacing w:line="360" w:lineRule="auto"/>
        <w:ind w:firstLine="480" w:firstLineChars="200"/>
        <w:outlineLvl w:val="0"/>
        <w:rPr>
          <w:rFonts w:ascii="黑体" w:eastAsia="黑体"/>
          <w:sz w:val="24"/>
        </w:rPr>
      </w:pPr>
      <w:r>
        <w:rPr>
          <w:rFonts w:ascii="黑体" w:eastAsia="黑体"/>
          <w:sz w:val="24"/>
        </w:rPr>
        <w:t>三、主要</w:t>
      </w:r>
      <w:r>
        <w:rPr>
          <w:rFonts w:hint="eastAsia" w:ascii="黑体" w:eastAsia="黑体"/>
          <w:sz w:val="24"/>
        </w:rPr>
        <w:t>修订</w:t>
      </w:r>
      <w:r>
        <w:rPr>
          <w:rFonts w:ascii="黑体" w:eastAsia="黑体"/>
          <w:sz w:val="24"/>
        </w:rPr>
        <w:t>工作过程</w:t>
      </w:r>
    </w:p>
    <w:p>
      <w:pPr>
        <w:spacing w:line="400" w:lineRule="exact"/>
        <w:ind w:firstLine="480" w:firstLineChars="200"/>
        <w:rPr>
          <w:rFonts w:eastAsia="仿宋_GB2312"/>
          <w:bCs/>
          <w:sz w:val="24"/>
        </w:rPr>
      </w:pPr>
      <w:r>
        <w:rPr>
          <w:rFonts w:hint="eastAsia" w:eastAsia="仿宋_GB2312"/>
          <w:bCs/>
          <w:sz w:val="24"/>
        </w:rPr>
        <w:t>1、成立标准修订工作组</w:t>
      </w:r>
    </w:p>
    <w:p>
      <w:pPr>
        <w:pStyle w:val="4"/>
        <w:spacing w:line="360" w:lineRule="auto"/>
        <w:ind w:firstLine="480"/>
        <w:rPr>
          <w:rFonts w:eastAsia="仿宋_GB2312"/>
          <w:bCs/>
          <w:sz w:val="24"/>
        </w:rPr>
      </w:pPr>
      <w:r>
        <w:rPr>
          <w:rFonts w:hint="eastAsia" w:eastAsia="仿宋_GB2312"/>
          <w:bCs/>
          <w:sz w:val="24"/>
        </w:rPr>
        <w:t>2022年12月，按照《山西省市场监督管理局关于2022年度省级地方标准复审结论公告》及《山西省农业标准化技术委员会关于启动实施2022年度省级农业地方标准复审结论中修订项目计划的通知》要求，成立修订项目组，对DB 14/T 1372—2017《设施春白菜高效栽培技术规程》进行修订。</w:t>
      </w:r>
    </w:p>
    <w:p>
      <w:pPr>
        <w:spacing w:line="400" w:lineRule="exact"/>
        <w:ind w:firstLine="480" w:firstLineChars="200"/>
        <w:rPr>
          <w:rFonts w:eastAsia="仿宋_GB2312"/>
          <w:bCs/>
          <w:sz w:val="24"/>
        </w:rPr>
      </w:pPr>
      <w:r>
        <w:rPr>
          <w:rFonts w:hint="eastAsia" w:eastAsia="仿宋_GB2312"/>
          <w:bCs/>
          <w:sz w:val="24"/>
        </w:rPr>
        <w:t>2、调研考察</w:t>
      </w:r>
    </w:p>
    <w:p>
      <w:pPr>
        <w:spacing w:line="400" w:lineRule="exact"/>
        <w:ind w:firstLine="480" w:firstLineChars="200"/>
        <w:rPr>
          <w:rFonts w:eastAsia="仿宋_GB2312"/>
          <w:bCs/>
          <w:sz w:val="24"/>
        </w:rPr>
      </w:pPr>
      <w:r>
        <w:rPr>
          <w:rFonts w:hint="eastAsia" w:eastAsia="仿宋_GB2312"/>
          <w:bCs/>
          <w:sz w:val="24"/>
        </w:rPr>
        <w:t>2023年1月—5月，在太原、晋中、忻州、朔州等针对DB 14/T 1372—2017《设施春白菜高效栽培技术规程》自颁布实施以来的应用效果展开调研，针对生产中的新形势，如机械化生产、起垄覆膜栽培等，新问题如新型生物农药化学药剂的生产使用等，完善生产过程，提升技术水平等，为标准的修订完善提供了实践数据。</w:t>
      </w:r>
    </w:p>
    <w:p>
      <w:pPr>
        <w:spacing w:line="400" w:lineRule="exact"/>
        <w:ind w:firstLine="480" w:firstLineChars="200"/>
        <w:rPr>
          <w:rFonts w:eastAsia="仿宋_GB2312"/>
          <w:bCs/>
          <w:sz w:val="24"/>
        </w:rPr>
      </w:pPr>
      <w:r>
        <w:rPr>
          <w:rFonts w:hint="eastAsia" w:eastAsia="仿宋_GB2312"/>
          <w:bCs/>
          <w:sz w:val="24"/>
        </w:rPr>
        <w:t>3、收集资料</w:t>
      </w:r>
    </w:p>
    <w:p>
      <w:pPr>
        <w:spacing w:line="400" w:lineRule="exact"/>
        <w:ind w:firstLine="480" w:firstLineChars="200"/>
        <w:rPr>
          <w:rFonts w:eastAsia="仿宋_GB2312"/>
          <w:bCs/>
          <w:sz w:val="24"/>
        </w:rPr>
      </w:pPr>
      <w:r>
        <w:rPr>
          <w:rFonts w:hint="eastAsia" w:eastAsia="仿宋_GB2312"/>
          <w:bCs/>
          <w:sz w:val="24"/>
        </w:rPr>
        <w:t>结合近年来的技术更新，项目组研究了国家、行业和各省相关地方标准的制定情况，广泛收集、分析、归纳了相关资料，为文本修订的科学性、合理性提供了参考。</w:t>
      </w:r>
    </w:p>
    <w:p>
      <w:pPr>
        <w:spacing w:line="400" w:lineRule="exact"/>
        <w:ind w:firstLine="480" w:firstLineChars="200"/>
        <w:rPr>
          <w:rFonts w:eastAsia="仿宋_GB2312"/>
          <w:bCs/>
          <w:sz w:val="24"/>
        </w:rPr>
      </w:pPr>
      <w:r>
        <w:rPr>
          <w:rFonts w:hint="eastAsia" w:eastAsia="仿宋_GB2312"/>
          <w:bCs/>
          <w:sz w:val="24"/>
        </w:rPr>
        <w:t>4、修订文本</w:t>
      </w:r>
    </w:p>
    <w:p>
      <w:pPr>
        <w:pStyle w:val="4"/>
        <w:spacing w:line="360" w:lineRule="auto"/>
        <w:ind w:firstLine="480"/>
        <w:rPr>
          <w:rFonts w:eastAsia="仿宋_GB2312"/>
          <w:bCs/>
          <w:sz w:val="24"/>
        </w:rPr>
      </w:pPr>
      <w:r>
        <w:rPr>
          <w:rFonts w:hint="eastAsia" w:eastAsia="仿宋_GB2312"/>
          <w:bCs/>
          <w:sz w:val="24"/>
        </w:rPr>
        <w:t>2023年6月—12月，项目组认真学习了《GB/T 1.1-2020 标准化工作导则 第1部分：标准化文件的结构和起草规则》。根据相关要求，在2017版基础上进行了修订，除结构调整和编辑性改动外，主要技术变化有：增加了“术语与定义”（见3）；增加了“播种育苗”章节机械播种方法（见5.5.3）；修改了“整地施肥”章节整地方式（见6.1）;修改了“病虫害防治”章节农业防治（见8.2.1）、物理防治（见8.2.2）、生物防治的方法（见8.2.3）；修改了“病虫害防治”章节化学防治的方法及用药标准（见8.2.4）；增加了“附录”（见附录A）。形成新版《设施春白菜栽培技术规程》的征求意见稿，向山西省园艺产业发展中心、</w:t>
      </w:r>
      <w:r>
        <w:rPr>
          <w:rFonts w:hint="eastAsia" w:ascii="仿宋_GB2312" w:hAnsi="宋体" w:eastAsia="仿宋_GB2312"/>
          <w:sz w:val="24"/>
        </w:rPr>
        <w:t>山西省植物保护植物检疫中心、</w:t>
      </w:r>
      <w:r>
        <w:rPr>
          <w:rFonts w:hint="eastAsia" w:eastAsia="仿宋_GB2312"/>
          <w:bCs/>
          <w:sz w:val="24"/>
        </w:rPr>
        <w:t>山西省蔬菜产业技术体系、山西科萌种业有限公司、寿阳县绿发种植专业合作社等5家单位和相关体系征求意见并修改完善。</w:t>
      </w:r>
    </w:p>
    <w:p>
      <w:pPr>
        <w:spacing w:line="400" w:lineRule="exact"/>
        <w:ind w:firstLine="480" w:firstLineChars="200"/>
        <w:rPr>
          <w:rFonts w:eastAsia="仿宋_GB2312"/>
          <w:bCs/>
          <w:sz w:val="24"/>
        </w:rPr>
      </w:pPr>
      <w:r>
        <w:rPr>
          <w:rFonts w:hint="eastAsia" w:eastAsia="仿宋_GB2312"/>
          <w:bCs/>
          <w:sz w:val="24"/>
        </w:rPr>
        <w:t>5、技术评审</w:t>
      </w:r>
    </w:p>
    <w:p>
      <w:pPr>
        <w:pStyle w:val="4"/>
        <w:spacing w:line="360" w:lineRule="auto"/>
        <w:ind w:firstLine="480"/>
        <w:rPr>
          <w:rFonts w:eastAsia="仿宋_GB2312"/>
          <w:bCs/>
          <w:sz w:val="24"/>
        </w:rPr>
      </w:pPr>
      <w:r>
        <w:rPr>
          <w:rFonts w:hint="eastAsia" w:eastAsia="仿宋_GB2312"/>
          <w:bCs/>
          <w:sz w:val="24"/>
        </w:rPr>
        <w:t>2024年3月13日，组织专家组进行技术审查，并提出宝贵修改意见，项目组根据修改意见再次进行了修改完善，形成了《设施春白菜栽培技术规程》送审稿。</w:t>
      </w:r>
    </w:p>
    <w:p>
      <w:pPr>
        <w:numPr>
          <w:ilvl w:val="0"/>
          <w:numId w:val="3"/>
        </w:numPr>
        <w:spacing w:line="400" w:lineRule="exact"/>
        <w:ind w:firstLine="480" w:firstLineChars="200"/>
        <w:rPr>
          <w:rFonts w:eastAsia="仿宋_GB2312"/>
          <w:bCs/>
          <w:sz w:val="24"/>
        </w:rPr>
      </w:pPr>
      <w:r>
        <w:rPr>
          <w:rFonts w:hint="eastAsia" w:eastAsia="仿宋_GB2312"/>
          <w:bCs/>
          <w:sz w:val="24"/>
        </w:rPr>
        <w:t>征求意见</w:t>
      </w:r>
    </w:p>
    <w:p>
      <w:pPr>
        <w:spacing w:line="360" w:lineRule="auto"/>
        <w:ind w:firstLine="360" w:firstLineChars="150"/>
        <w:outlineLvl w:val="0"/>
        <w:rPr>
          <w:rFonts w:eastAsia="仿宋_GB2312"/>
          <w:bCs/>
          <w:sz w:val="24"/>
        </w:rPr>
      </w:pPr>
      <w:r>
        <w:rPr>
          <w:rFonts w:hint="eastAsia" w:eastAsia="仿宋_GB2312"/>
          <w:bCs/>
          <w:sz w:val="24"/>
        </w:rPr>
        <w:t>将《设施春白菜栽培技术规程》征求意见稿在山西省市场监督管理局网站向社会公示30天。</w:t>
      </w:r>
    </w:p>
    <w:p>
      <w:pPr>
        <w:numPr>
          <w:ilvl w:val="0"/>
          <w:numId w:val="3"/>
        </w:numPr>
        <w:spacing w:line="400" w:lineRule="exact"/>
        <w:ind w:firstLine="480" w:firstLineChars="200"/>
        <w:rPr>
          <w:rFonts w:eastAsia="仿宋_GB2312"/>
          <w:bCs/>
          <w:sz w:val="24"/>
        </w:rPr>
      </w:pPr>
      <w:r>
        <w:rPr>
          <w:rFonts w:hint="eastAsia" w:eastAsia="仿宋_GB2312"/>
          <w:bCs/>
          <w:sz w:val="24"/>
        </w:rPr>
        <w:t>完善文本</w:t>
      </w:r>
    </w:p>
    <w:p>
      <w:pPr>
        <w:spacing w:line="400" w:lineRule="exact"/>
        <w:ind w:firstLine="480" w:firstLineChars="200"/>
        <w:rPr>
          <w:rFonts w:eastAsia="仿宋_GB2312"/>
          <w:bCs/>
          <w:sz w:val="24"/>
        </w:rPr>
      </w:pPr>
      <w:r>
        <w:rPr>
          <w:rFonts w:hint="eastAsia" w:eastAsia="仿宋_GB2312"/>
          <w:bCs/>
          <w:sz w:val="24"/>
        </w:rPr>
        <w:t>进一步修改完善后形成《设施春白菜栽培技术规程》标准送审稿，标委会表决通过。</w:t>
      </w:r>
    </w:p>
    <w:p>
      <w:pPr>
        <w:numPr>
          <w:ilvl w:val="0"/>
          <w:numId w:val="3"/>
        </w:numPr>
        <w:spacing w:line="400" w:lineRule="exact"/>
        <w:ind w:firstLine="480" w:firstLineChars="200"/>
        <w:rPr>
          <w:rFonts w:eastAsia="仿宋_GB2312"/>
          <w:bCs/>
          <w:sz w:val="24"/>
        </w:rPr>
      </w:pPr>
      <w:r>
        <w:rPr>
          <w:rFonts w:hint="eastAsia" w:eastAsia="仿宋_GB2312"/>
          <w:bCs/>
          <w:sz w:val="24"/>
        </w:rPr>
        <w:t>形成报批稿、提交报批材料</w:t>
      </w:r>
    </w:p>
    <w:p>
      <w:pPr>
        <w:spacing w:line="400" w:lineRule="exact"/>
        <w:ind w:firstLine="480" w:firstLineChars="200"/>
        <w:rPr>
          <w:rFonts w:eastAsia="仿宋_GB2312"/>
          <w:bCs/>
          <w:sz w:val="24"/>
        </w:rPr>
      </w:pPr>
      <w:r>
        <w:rPr>
          <w:rFonts w:hint="eastAsia" w:eastAsia="仿宋_GB2312"/>
          <w:bCs/>
          <w:sz w:val="24"/>
        </w:rPr>
        <w:t>形成《设施春白菜栽培技术规程》报批稿，提交报批材料。</w:t>
      </w:r>
    </w:p>
    <w:p>
      <w:pPr>
        <w:spacing w:line="360" w:lineRule="auto"/>
        <w:ind w:firstLine="480" w:firstLineChars="200"/>
        <w:outlineLvl w:val="0"/>
        <w:rPr>
          <w:rFonts w:ascii="黑体" w:eastAsia="黑体"/>
          <w:sz w:val="24"/>
        </w:rPr>
      </w:pPr>
      <w:r>
        <w:rPr>
          <w:rFonts w:hint="eastAsia" w:ascii="黑体" w:eastAsia="黑体"/>
          <w:sz w:val="24"/>
        </w:rPr>
        <w:t>四</w:t>
      </w:r>
      <w:r>
        <w:rPr>
          <w:rFonts w:ascii="黑体" w:eastAsia="黑体"/>
          <w:sz w:val="24"/>
        </w:rPr>
        <w:t>、</w:t>
      </w:r>
      <w:r>
        <w:rPr>
          <w:rFonts w:hint="eastAsia" w:ascii="黑体" w:eastAsia="黑体"/>
          <w:sz w:val="24"/>
        </w:rPr>
        <w:t>制修</w:t>
      </w:r>
      <w:r>
        <w:rPr>
          <w:rFonts w:ascii="黑体" w:eastAsia="黑体"/>
          <w:sz w:val="24"/>
        </w:rPr>
        <w:t>订标准的原则和依据，与现行法律、法规、标准的关系</w:t>
      </w:r>
    </w:p>
    <w:p>
      <w:pPr>
        <w:pStyle w:val="4"/>
        <w:spacing w:line="360" w:lineRule="auto"/>
        <w:ind w:firstLine="482"/>
        <w:rPr>
          <w:rFonts w:eastAsia="仿宋_GB2312"/>
          <w:b/>
          <w:sz w:val="24"/>
        </w:rPr>
      </w:pPr>
      <w:r>
        <w:rPr>
          <w:rFonts w:hint="eastAsia" w:eastAsia="仿宋_GB2312"/>
          <w:b/>
          <w:sz w:val="24"/>
        </w:rPr>
        <w:t>（一）标准制订过程中所依据的技术性文件</w:t>
      </w:r>
    </w:p>
    <w:p>
      <w:pPr>
        <w:pStyle w:val="4"/>
        <w:spacing w:line="360" w:lineRule="auto"/>
        <w:ind w:firstLine="480"/>
        <w:rPr>
          <w:rFonts w:eastAsia="仿宋_GB2312"/>
          <w:bCs/>
          <w:sz w:val="24"/>
        </w:rPr>
      </w:pPr>
      <w:r>
        <w:rPr>
          <w:rFonts w:hint="eastAsia" w:eastAsia="仿宋_GB2312"/>
          <w:bCs/>
          <w:sz w:val="24"/>
        </w:rPr>
        <w:t>本文件严格遵循《中华人民共和国标准化法》《山西省标准化条例》《中华人民共和国农业法》《中华人民共和国农业技术推广法》等法律法规，按照国家标准《GB/T 1.1—2020 标准化工作导则 第1部分：标准化文件的结构和起草规则》的规定，在学习国家标准《GB 16715.2  瓜菜作物种子 第2部分：白菜类》、《NY/T 5214 无公害食品 普通白菜生产技术规程》、《NY/T 5363 无公害食品 蔬菜生产管理规范》等文件的基础上进行制定。</w:t>
      </w:r>
    </w:p>
    <w:p>
      <w:pPr>
        <w:pStyle w:val="4"/>
        <w:spacing w:line="360" w:lineRule="auto"/>
        <w:ind w:firstLine="480"/>
        <w:rPr>
          <w:rFonts w:eastAsia="仿宋_GB2312"/>
          <w:bCs/>
          <w:sz w:val="24"/>
        </w:rPr>
      </w:pPr>
      <w:r>
        <w:rPr>
          <w:rFonts w:hint="eastAsia" w:eastAsia="仿宋_GB2312"/>
          <w:bCs/>
          <w:sz w:val="24"/>
        </w:rPr>
        <w:t>本文件是针对我省生产需求，根据山西省气候和种植条件制订的。山西农业大学园艺学院大白菜课题组多年来一直从事大白菜的品种选育与配套栽培技术的研究及推广，在我省及全国多个春白菜主要种植区示范生产。本文件的各项技术均来自于多点试验数据，经过多年生产示范后完善并确定的。综上所述，本文件满足合法性、安全性、适应性、协调性和先进性等要求。</w:t>
      </w:r>
    </w:p>
    <w:p>
      <w:pPr>
        <w:pStyle w:val="4"/>
        <w:spacing w:line="360" w:lineRule="auto"/>
        <w:ind w:firstLine="482"/>
        <w:rPr>
          <w:rFonts w:eastAsia="仿宋_GB2312"/>
          <w:b/>
          <w:sz w:val="24"/>
        </w:rPr>
      </w:pPr>
      <w:r>
        <w:rPr>
          <w:rFonts w:hint="eastAsia" w:eastAsia="仿宋_GB2312"/>
          <w:b/>
          <w:sz w:val="24"/>
        </w:rPr>
        <w:t>（二）与现行法律、法规、标准是否协调一致，有无冲突。</w:t>
      </w:r>
    </w:p>
    <w:p>
      <w:pPr>
        <w:pStyle w:val="4"/>
        <w:spacing w:line="360" w:lineRule="auto"/>
        <w:ind w:firstLine="480"/>
        <w:rPr>
          <w:rFonts w:eastAsia="仿宋_GB2312"/>
          <w:bCs/>
          <w:sz w:val="24"/>
        </w:rPr>
      </w:pPr>
      <w:r>
        <w:rPr>
          <w:rFonts w:hint="eastAsia" w:eastAsia="仿宋_GB2312"/>
          <w:bCs/>
          <w:sz w:val="24"/>
        </w:rPr>
        <w:t>本文件与现行法律、法规、标准协调一致，无冲突。</w:t>
      </w:r>
    </w:p>
    <w:p>
      <w:pPr>
        <w:spacing w:line="360" w:lineRule="auto"/>
        <w:ind w:firstLine="480" w:firstLineChars="200"/>
        <w:outlineLvl w:val="0"/>
        <w:rPr>
          <w:rFonts w:ascii="黑体" w:eastAsia="黑体"/>
          <w:sz w:val="24"/>
        </w:rPr>
      </w:pPr>
      <w:r>
        <w:rPr>
          <w:rFonts w:hint="eastAsia" w:ascii="黑体" w:eastAsia="黑体"/>
          <w:sz w:val="24"/>
        </w:rPr>
        <w:t>五</w:t>
      </w:r>
      <w:r>
        <w:rPr>
          <w:rFonts w:ascii="黑体" w:eastAsia="黑体"/>
          <w:sz w:val="24"/>
        </w:rPr>
        <w:t>、主要条款的说明，主要技术指标、参数、试验验证的分析、综合论述</w:t>
      </w:r>
    </w:p>
    <w:p>
      <w:pPr>
        <w:spacing w:line="360" w:lineRule="auto"/>
        <w:ind w:firstLine="480" w:firstLineChars="200"/>
        <w:rPr>
          <w:rFonts w:eastAsia="仿宋_GB2312"/>
          <w:bCs/>
          <w:sz w:val="24"/>
        </w:rPr>
      </w:pPr>
      <w:r>
        <w:rPr>
          <w:rFonts w:hint="eastAsia" w:eastAsia="仿宋_GB2312"/>
          <w:bCs/>
          <w:sz w:val="24"/>
        </w:rPr>
        <w:t>标准起草组以“合法性、安全性、适应性、协调性和先进性”为修订原则，以文本结构更加合理、表述更加准确、技术指标更加科学为修订目标，从2个方面对文本进行了修订，其中：</w:t>
      </w:r>
    </w:p>
    <w:p>
      <w:pPr>
        <w:spacing w:line="360" w:lineRule="auto"/>
        <w:ind w:firstLine="480" w:firstLineChars="200"/>
        <w:rPr>
          <w:rFonts w:eastAsia="仿宋_GB2312"/>
          <w:bCs/>
          <w:sz w:val="24"/>
        </w:rPr>
      </w:pPr>
      <w:r>
        <w:rPr>
          <w:rFonts w:hint="eastAsia" w:eastAsia="仿宋_GB2312"/>
          <w:bCs/>
          <w:sz w:val="24"/>
        </w:rPr>
        <w:t>1、涉及结构性调整的主要有2项：</w:t>
      </w:r>
    </w:p>
    <w:p>
      <w:pPr>
        <w:spacing w:line="360" w:lineRule="auto"/>
        <w:ind w:firstLine="480" w:firstLineChars="200"/>
        <w:rPr>
          <w:rFonts w:eastAsia="仿宋_GB2312"/>
          <w:bCs/>
          <w:sz w:val="24"/>
        </w:rPr>
      </w:pPr>
      <w:r>
        <w:rPr>
          <w:rFonts w:hint="eastAsia" w:eastAsia="仿宋_GB2312"/>
          <w:bCs/>
          <w:sz w:val="24"/>
        </w:rPr>
        <w:t>（1）增加了“术语与定义”章节（见3）。修订原因：原标准文本缺少“术语与定义”章节内容。</w:t>
      </w:r>
    </w:p>
    <w:p>
      <w:pPr>
        <w:spacing w:line="360" w:lineRule="auto"/>
        <w:ind w:firstLine="480" w:firstLineChars="200"/>
        <w:rPr>
          <w:rFonts w:eastAsia="仿宋_GB2312"/>
          <w:bCs/>
          <w:sz w:val="24"/>
        </w:rPr>
      </w:pPr>
      <w:r>
        <w:rPr>
          <w:rFonts w:hint="eastAsia" w:eastAsia="仿宋_GB2312"/>
          <w:bCs/>
          <w:sz w:val="24"/>
        </w:rPr>
        <w:t>（2）增加了“附录”内容，建立农产品生产档案。修订原因：农产品生产档案记录是指记录农业生产全过程的一套文书资料，包括种植的品种、播种时间、施肥、用药、病虫害防治情况、生长情况、收获时间和方法等信息。农产品生产档案记录可以确保农产品的质量和安全，确保农业生产的可追溯性。通过建立生产档案，可以实现质量追溯，通过了解农田的管理、施肥、用药等环节，从而保证农产品的质量。可以保证食品安全：档案记录中的用药情况、病虫害防治情况等信息可以帮助监管部门对农产品进行检验和抽检，确保食品安全。可以提高经济效益：通过记录和分析农产品的生产信息，可以帮助农民了解生产成本、收入等信息，从而优化农业生产结构和提高经济效益。</w:t>
      </w:r>
    </w:p>
    <w:p>
      <w:pPr>
        <w:spacing w:line="360" w:lineRule="auto"/>
        <w:ind w:firstLine="480" w:firstLineChars="200"/>
        <w:rPr>
          <w:rFonts w:eastAsia="仿宋_GB2312"/>
          <w:bCs/>
          <w:sz w:val="24"/>
        </w:rPr>
      </w:pPr>
      <w:r>
        <w:rPr>
          <w:rFonts w:hint="eastAsia" w:eastAsia="仿宋_GB2312"/>
          <w:bCs/>
          <w:sz w:val="24"/>
        </w:rPr>
        <w:t>2、涉及到的技术指标主要有6项：</w:t>
      </w:r>
    </w:p>
    <w:p>
      <w:pPr>
        <w:spacing w:line="360" w:lineRule="auto"/>
        <w:ind w:firstLine="480" w:firstLineChars="200"/>
        <w:rPr>
          <w:rFonts w:eastAsia="仿宋_GB2312"/>
          <w:bCs/>
          <w:sz w:val="24"/>
        </w:rPr>
      </w:pPr>
      <w:r>
        <w:rPr>
          <w:rFonts w:hint="eastAsia" w:eastAsia="仿宋_GB2312"/>
          <w:bCs/>
          <w:sz w:val="24"/>
        </w:rPr>
        <w:t>（1）增加了“播种育苗”章节机械播种方法（见5.5.3）。修订原因及试验验证分析：目前设施白菜多采用集约化育苗方式进行育苗，机械化播种成为主要播种方式，在育苗场机械化育苗普及率达到95%以上，因此增加此项内容。</w:t>
      </w:r>
    </w:p>
    <w:p>
      <w:pPr>
        <w:spacing w:line="360" w:lineRule="auto"/>
        <w:ind w:firstLine="480" w:firstLineChars="200"/>
        <w:rPr>
          <w:rFonts w:eastAsia="仿宋_GB2312"/>
          <w:bCs/>
          <w:sz w:val="24"/>
        </w:rPr>
      </w:pPr>
      <w:r>
        <w:rPr>
          <w:rFonts w:hint="eastAsia" w:eastAsia="仿宋_GB2312"/>
          <w:bCs/>
          <w:sz w:val="24"/>
        </w:rPr>
        <w:t>（2）修改了“整地施肥”章节整地方式（见6.1）。修订原因及试验验证分析：将平畦栽培或起垄栽培调整为起垄覆膜栽培。起垄栽培不仅可以提高地温同时避免后期进行中耕、追肥等田间操作时对植株造成伤害，引起病害发生，与平畦栽培相比，起垄栽培缓苗快，植株成活率高，后期病害发生较少。其次要覆膜栽培，多年实验表明，利用地膜覆盖栽培比同期定植不覆地膜的大白菜抽薹率可以减少20%左右，而且有利于生长后期形成紧实的叶球。</w:t>
      </w:r>
    </w:p>
    <w:p>
      <w:pPr>
        <w:spacing w:line="360" w:lineRule="auto"/>
        <w:ind w:firstLine="480" w:firstLineChars="200"/>
        <w:rPr>
          <w:rFonts w:eastAsia="仿宋_GB2312"/>
          <w:bCs/>
          <w:sz w:val="24"/>
        </w:rPr>
      </w:pPr>
      <w:r>
        <w:rPr>
          <w:rFonts w:hint="eastAsia" w:eastAsia="仿宋_GB2312"/>
          <w:bCs/>
          <w:sz w:val="24"/>
        </w:rPr>
        <w:t>（3）修改了“病虫害防治”章节农业防治的方法（见8.2.1），增加了清洁田园。修订原因及试验验证分析：根据产区的生产实际调查，生育期内植株发病率，清园好的为2.1%，清园不好的为8.4%，未清园的为15.8%。清洁田园可以大大降低病虫为害程度，因此农业防治中加入清洁田园。</w:t>
      </w:r>
    </w:p>
    <w:p>
      <w:pPr>
        <w:spacing w:line="360" w:lineRule="auto"/>
        <w:ind w:firstLine="480" w:firstLineChars="200"/>
        <w:rPr>
          <w:rFonts w:eastAsia="仿宋_GB2312"/>
          <w:bCs/>
          <w:sz w:val="24"/>
        </w:rPr>
      </w:pPr>
      <w:r>
        <w:rPr>
          <w:rFonts w:hint="eastAsia" w:eastAsia="仿宋_GB2312"/>
          <w:bCs/>
          <w:sz w:val="24"/>
        </w:rPr>
        <w:t>（4）修改了“病虫害防治”章节物理防治的方法（见8.2.2），建议在设施四周的通风口及出入门口装上防虫网。修订原因及试验验证分析：根据生产调查，加装防虫网不仅可以免除甜菜夜蛾、斜纹夜蛾、菜青虫、小菜蛾、蚜虫、烟粉虱等多种主要害虫的为害，还可阻隔传毒的蚜虫、烟粉虱、蓟马、美洲斑潜蝇传播数十种病毒病，达到防虫兼控病毒病的良好效果。</w:t>
      </w:r>
    </w:p>
    <w:p>
      <w:pPr>
        <w:spacing w:line="360" w:lineRule="auto"/>
        <w:ind w:firstLine="480" w:firstLineChars="200"/>
        <w:outlineLvl w:val="0"/>
        <w:rPr>
          <w:rFonts w:eastAsia="仿宋_GB2312"/>
          <w:bCs/>
          <w:sz w:val="24"/>
        </w:rPr>
      </w:pPr>
      <w:r>
        <w:rPr>
          <w:rFonts w:hint="eastAsia" w:eastAsia="仿宋_GB2312"/>
          <w:bCs/>
          <w:sz w:val="24"/>
        </w:rPr>
        <w:t>（5）修改了“病虫害防治”章节生物防治的方法（见8.2.3），增加了枯草芽孢杆菌、白僵菌、藜芦碱、苦参碱等生物农药。修订原因及试验验证分析：生物农药具有高效的特性，并且对环境相对安全，生物农药在病虫害综合防治中的地位和作用显得愈来愈重要，新型的生物农药会越来越多，防治范围会越来越广，防治效果也会越来越好。</w:t>
      </w:r>
    </w:p>
    <w:p>
      <w:pPr>
        <w:spacing w:line="360" w:lineRule="auto"/>
        <w:ind w:firstLine="480" w:firstLineChars="200"/>
        <w:outlineLvl w:val="0"/>
        <w:rPr>
          <w:rFonts w:eastAsia="仿宋_GB2312"/>
          <w:bCs/>
          <w:sz w:val="24"/>
        </w:rPr>
      </w:pPr>
      <w:r>
        <w:rPr>
          <w:rFonts w:hint="eastAsia" w:eastAsia="仿宋_GB2312"/>
          <w:bCs/>
          <w:sz w:val="24"/>
        </w:rPr>
        <w:t>（6）修改了“病虫害防治”章节化学防治的方法及用药标准（见8.2.4），新增了部分农药，调整了部分农药的使用浓度等。修订原因及试验验证分析：虫害防治中，将药剂剂型调整为水基性药剂，避免了使用乳油剂型药剂对环境和大白菜产生较高毒性。部分农药稀释倍数提供了参考范围，在不同情况下可以适当调整使用浓度。利用2.5%高效氯氟氰菊酯水乳剂防治蚜虫时，在虫害刚开始发生或前期设施内内温度较低时，可用2 000倍液进行防治，当虫害发生较严重或设施内温度较高时可降低稀释倍数，用1 000倍液进行防治，提高药剂使用效率。</w:t>
      </w:r>
    </w:p>
    <w:p>
      <w:pPr>
        <w:spacing w:line="360" w:lineRule="auto"/>
        <w:ind w:firstLine="480" w:firstLineChars="200"/>
        <w:outlineLvl w:val="0"/>
        <w:rPr>
          <w:rFonts w:ascii="黑体" w:eastAsia="黑体"/>
          <w:sz w:val="24"/>
        </w:rPr>
      </w:pPr>
      <w:r>
        <w:rPr>
          <w:rFonts w:hint="eastAsia" w:ascii="黑体" w:eastAsia="黑体"/>
          <w:sz w:val="24"/>
        </w:rPr>
        <w:t>六</w:t>
      </w:r>
      <w:r>
        <w:rPr>
          <w:rFonts w:ascii="黑体" w:eastAsia="黑体"/>
          <w:sz w:val="24"/>
        </w:rPr>
        <w:t>、</w:t>
      </w:r>
      <w:r>
        <w:rPr>
          <w:rFonts w:hint="eastAsia" w:ascii="黑体" w:eastAsia="黑体"/>
          <w:sz w:val="24"/>
        </w:rPr>
        <w:t>重大</w:t>
      </w:r>
      <w:r>
        <w:rPr>
          <w:rFonts w:ascii="黑体" w:eastAsia="黑体"/>
          <w:sz w:val="24"/>
        </w:rPr>
        <w:t>意见分歧的处理依据和结果</w:t>
      </w:r>
    </w:p>
    <w:p>
      <w:pPr>
        <w:pStyle w:val="4"/>
        <w:spacing w:line="360" w:lineRule="auto"/>
        <w:ind w:firstLine="480"/>
        <w:rPr>
          <w:rFonts w:eastAsia="仿宋_GB2312"/>
          <w:bCs/>
          <w:sz w:val="24"/>
        </w:rPr>
      </w:pPr>
      <w:r>
        <w:rPr>
          <w:rFonts w:hint="eastAsia" w:eastAsia="仿宋_GB2312"/>
          <w:bCs/>
          <w:sz w:val="24"/>
        </w:rPr>
        <w:t>标准形成过程中，项目组先后向山西省园艺产业发展中心、</w:t>
      </w:r>
      <w:r>
        <w:rPr>
          <w:rFonts w:hint="eastAsia" w:ascii="仿宋_GB2312" w:hAnsi="宋体" w:eastAsia="仿宋_GB2312"/>
          <w:sz w:val="24"/>
        </w:rPr>
        <w:t>山西省植物保护植物检疫中心</w:t>
      </w:r>
      <w:r>
        <w:rPr>
          <w:rFonts w:hint="eastAsia" w:eastAsia="仿宋_GB2312"/>
          <w:bCs/>
          <w:sz w:val="24"/>
        </w:rPr>
        <w:t>、山西省蔬菜产业技术体系、山西科萌种业有限公司、寿阳县绿发种植专业合作社等5家单位和相关体系征求意见，共收到反馈意见10条，其中采纳意见10条，未采纳意见0条。在征求意见过程中没有重大分歧意见，征求意见汇总处理表见附表。</w:t>
      </w:r>
    </w:p>
    <w:p>
      <w:pPr>
        <w:spacing w:line="360" w:lineRule="auto"/>
        <w:ind w:firstLine="480" w:firstLineChars="200"/>
        <w:outlineLvl w:val="0"/>
        <w:rPr>
          <w:rFonts w:ascii="黑体" w:eastAsia="黑体"/>
          <w:sz w:val="24"/>
        </w:rPr>
      </w:pPr>
      <w:r>
        <w:rPr>
          <w:rFonts w:hint="eastAsia" w:ascii="黑体" w:eastAsia="黑体"/>
          <w:sz w:val="24"/>
        </w:rPr>
        <w:t>七</w:t>
      </w:r>
      <w:r>
        <w:rPr>
          <w:rFonts w:ascii="黑体" w:eastAsia="黑体"/>
          <w:sz w:val="24"/>
        </w:rPr>
        <w:t>、</w:t>
      </w:r>
      <w:r>
        <w:rPr>
          <w:rFonts w:hint="eastAsia" w:ascii="黑体" w:eastAsia="黑体"/>
          <w:sz w:val="24"/>
        </w:rPr>
        <w:t>采标</w:t>
      </w:r>
      <w:r>
        <w:rPr>
          <w:rFonts w:ascii="黑体" w:eastAsia="黑体"/>
          <w:sz w:val="24"/>
        </w:rPr>
        <w:t>情况，是否合规引用或采用国际标准和国外先进标准，以及与国内外同类标准水平的对比情况</w:t>
      </w:r>
    </w:p>
    <w:p>
      <w:pPr>
        <w:pStyle w:val="4"/>
        <w:spacing w:line="360" w:lineRule="auto"/>
        <w:ind w:firstLine="480"/>
        <w:rPr>
          <w:rFonts w:ascii="仿宋_GB2312" w:hAnsi="宋体" w:eastAsia="仿宋_GB2312"/>
          <w:sz w:val="24"/>
        </w:rPr>
      </w:pPr>
      <w:r>
        <w:rPr>
          <w:rFonts w:hint="eastAsia" w:ascii="仿宋_GB2312" w:hAnsi="宋体" w:eastAsia="仿宋_GB2312"/>
          <w:sz w:val="24"/>
        </w:rPr>
        <w:t>本文件按照国家标准《GB/T 1.1—2020 标准化工作导则 第1部分：标准化文件的结构和起草规则》的规定，在学习国家标准《GB 16715.2 瓜菜作物种子 第2部分：白菜类》、《NY/T 5214 无公害食品 普通白菜生产技术规程》、《NY/T 5363 无公害食品 蔬菜生产管理规范》等文件的基础上进行制定。未引用或采用国际标准和国外标准。</w:t>
      </w:r>
    </w:p>
    <w:p>
      <w:pPr>
        <w:pStyle w:val="4"/>
        <w:spacing w:line="360" w:lineRule="auto"/>
        <w:ind w:firstLine="480"/>
        <w:rPr>
          <w:rFonts w:ascii="仿宋_GB2312" w:hAnsi="宋体" w:eastAsia="仿宋_GB2312"/>
          <w:sz w:val="24"/>
        </w:rPr>
      </w:pPr>
      <w:r>
        <w:rPr>
          <w:rFonts w:hint="eastAsia" w:ascii="仿宋_GB2312" w:hAnsi="宋体" w:eastAsia="仿宋_GB2312"/>
          <w:sz w:val="24"/>
        </w:rPr>
        <w:t>目前山东、浙江等省市对露地白菜或设施叶菜制定了地方标准，我省仅有露地大白菜生产技术标准，但国内设施大白菜生产尚无相应标准。本标准丰富了我省设施蔬菜生产技术标准。与现行的国标、行标以及其他省市的地方标准相比较，本标准突出了以下内容：</w:t>
      </w:r>
    </w:p>
    <w:p>
      <w:pPr>
        <w:pStyle w:val="4"/>
        <w:spacing w:line="360" w:lineRule="auto"/>
        <w:ind w:firstLine="480"/>
        <w:rPr>
          <w:rFonts w:ascii="仿宋_GB2312" w:hAnsi="宋体" w:eastAsia="仿宋_GB2312"/>
          <w:sz w:val="24"/>
        </w:rPr>
      </w:pPr>
      <w:r>
        <w:rPr>
          <w:rFonts w:hint="eastAsia" w:ascii="仿宋_GB2312" w:hAnsi="宋体" w:eastAsia="仿宋_GB2312"/>
          <w:sz w:val="24"/>
        </w:rPr>
        <w:t>1．根据我省不同生态区的气候特征和栽培类型，提出了适宜不同设施条件的茬口安排。</w:t>
      </w:r>
    </w:p>
    <w:p>
      <w:pPr>
        <w:pStyle w:val="4"/>
        <w:spacing w:line="360" w:lineRule="auto"/>
        <w:ind w:firstLine="480"/>
        <w:rPr>
          <w:rFonts w:ascii="仿宋_GB2312" w:hAnsi="宋体" w:eastAsia="仿宋_GB2312"/>
          <w:sz w:val="24"/>
        </w:rPr>
      </w:pPr>
      <w:r>
        <w:rPr>
          <w:rFonts w:hint="eastAsia" w:ascii="仿宋_GB2312" w:hAnsi="宋体" w:eastAsia="仿宋_GB2312"/>
          <w:sz w:val="24"/>
        </w:rPr>
        <w:t>2．本标准详细说明了设施春白菜栽培中从播种育苗到定植及栽培管理的具体方法，可操作性强。</w:t>
      </w:r>
    </w:p>
    <w:p>
      <w:pPr>
        <w:spacing w:line="360" w:lineRule="auto"/>
        <w:ind w:firstLine="480" w:firstLineChars="200"/>
        <w:outlineLvl w:val="0"/>
        <w:rPr>
          <w:rFonts w:ascii="黑体" w:eastAsia="黑体"/>
          <w:sz w:val="24"/>
        </w:rPr>
      </w:pPr>
      <w:r>
        <w:rPr>
          <w:rFonts w:hint="eastAsia" w:ascii="黑体" w:eastAsia="黑体"/>
          <w:sz w:val="24"/>
        </w:rPr>
        <w:t>八、</w:t>
      </w:r>
      <w:r>
        <w:rPr>
          <w:rFonts w:hint="eastAsia" w:ascii="黑体" w:hAnsi="黑体" w:eastAsia="黑体"/>
          <w:sz w:val="24"/>
        </w:rPr>
        <w:t>作为推荐性标准或者强制性标准的建议及其理由。</w:t>
      </w:r>
    </w:p>
    <w:p>
      <w:pPr>
        <w:pStyle w:val="4"/>
        <w:spacing w:line="360" w:lineRule="auto"/>
        <w:ind w:firstLine="480"/>
        <w:rPr>
          <w:rFonts w:ascii="仿宋_GB2312" w:eastAsia="仿宋_GB2312"/>
          <w:sz w:val="32"/>
          <w:szCs w:val="32"/>
        </w:rPr>
      </w:pPr>
      <w:r>
        <w:rPr>
          <w:rFonts w:hint="eastAsia" w:ascii="仿宋_GB2312" w:hAnsi="宋体" w:eastAsia="仿宋_GB2312"/>
          <w:sz w:val="24"/>
        </w:rPr>
        <w:t>本文件旨在规范设施春白菜生产过程的各项内容及操作要求，实现规范化、标准化、科学化生产，具有技术属性，而无法规属性，不需强制执行，因此建议作为推荐性标准。</w:t>
      </w:r>
    </w:p>
    <w:p>
      <w:pPr>
        <w:spacing w:line="360" w:lineRule="auto"/>
        <w:ind w:firstLine="480" w:firstLineChars="200"/>
        <w:outlineLvl w:val="0"/>
        <w:rPr>
          <w:rFonts w:ascii="黑体" w:eastAsia="黑体"/>
          <w:sz w:val="24"/>
        </w:rPr>
      </w:pPr>
      <w:r>
        <w:rPr>
          <w:rFonts w:hint="eastAsia" w:ascii="黑体" w:eastAsia="黑体"/>
          <w:sz w:val="24"/>
        </w:rPr>
        <w:t>九</w:t>
      </w:r>
      <w:r>
        <w:rPr>
          <w:rFonts w:ascii="黑体" w:eastAsia="黑体"/>
          <w:sz w:val="24"/>
        </w:rPr>
        <w:t>、</w:t>
      </w:r>
      <w:r>
        <w:rPr>
          <w:rFonts w:hint="eastAsia" w:ascii="黑体" w:eastAsia="黑体"/>
          <w:sz w:val="24"/>
        </w:rPr>
        <w:t>实施</w:t>
      </w:r>
      <w:r>
        <w:rPr>
          <w:rFonts w:ascii="黑体" w:eastAsia="黑体"/>
          <w:sz w:val="24"/>
        </w:rPr>
        <w:t>标准的措施建议</w:t>
      </w:r>
    </w:p>
    <w:p>
      <w:pPr>
        <w:spacing w:line="360" w:lineRule="auto"/>
        <w:ind w:firstLine="480" w:firstLineChars="200"/>
        <w:rPr>
          <w:rFonts w:ascii="仿宋_GB2312" w:hAnsi="宋体" w:eastAsia="仿宋_GB2312"/>
          <w:sz w:val="24"/>
        </w:rPr>
      </w:pPr>
      <w:r>
        <w:rPr>
          <w:rFonts w:hint="eastAsia" w:ascii="仿宋_GB2312" w:hAnsi="宋体" w:eastAsia="仿宋_GB2312"/>
          <w:sz w:val="24"/>
        </w:rPr>
        <w:t>1、山西省农业主管部门可以政府文件形式在相关区域的行政主管部门、基层推广部门进行宣传推广。标准起草单位可通过电视、广播、网络、报刊等媒体进行大力宣传。</w:t>
      </w:r>
    </w:p>
    <w:p>
      <w:pPr>
        <w:spacing w:line="360" w:lineRule="auto"/>
        <w:ind w:firstLine="480" w:firstLineChars="200"/>
        <w:outlineLvl w:val="0"/>
        <w:rPr>
          <w:rFonts w:ascii="仿宋_GB2312" w:hAnsi="宋体" w:eastAsia="仿宋_GB2312"/>
          <w:sz w:val="24"/>
        </w:rPr>
      </w:pPr>
      <w:r>
        <w:rPr>
          <w:rFonts w:hint="eastAsia" w:ascii="仿宋_GB2312" w:hAnsi="宋体" w:eastAsia="仿宋_GB2312"/>
          <w:sz w:val="24"/>
        </w:rPr>
        <w:t>2、标准起草单位通过相关项目实施和资金支持，建立示范推广基地，在标准示范过程中以现场会、培训会、实地指导、发放技术手册等形式，经当地农业农村局、农村专业技术合作社等平台对农户进行宣传、培训，使尽快了解、熟悉、掌握标准的内容和要求，并能按照标准进行生产，保障本文件的实施。</w:t>
      </w:r>
    </w:p>
    <w:p>
      <w:pPr>
        <w:spacing w:line="360" w:lineRule="auto"/>
        <w:jc w:val="left"/>
        <w:rPr>
          <w:rFonts w:ascii="仿宋_GB2312" w:hAnsi="宋体" w:eastAsia="仿宋_GB2312"/>
          <w:sz w:val="24"/>
        </w:rPr>
        <w:sectPr>
          <w:footerReference r:id="rId3" w:type="default"/>
          <w:pgSz w:w="11906" w:h="16838"/>
          <w:pgMar w:top="1440" w:right="1803" w:bottom="1440" w:left="1803" w:header="851" w:footer="992" w:gutter="0"/>
          <w:pgNumType w:start="1"/>
          <w:cols w:space="0" w:num="1"/>
          <w:titlePg/>
          <w:docGrid w:type="lines" w:linePitch="319" w:charSpace="0"/>
        </w:sectPr>
      </w:pPr>
    </w:p>
    <w:p>
      <w:pPr>
        <w:spacing w:line="360" w:lineRule="auto"/>
        <w:ind w:firstLine="480" w:firstLineChars="200"/>
        <w:jc w:val="left"/>
        <w:rPr>
          <w:rFonts w:ascii="仿宋_GB2312" w:hAnsi="宋体" w:eastAsia="仿宋_GB2312"/>
          <w:sz w:val="24"/>
        </w:rPr>
      </w:pPr>
      <w:r>
        <w:rPr>
          <w:rFonts w:hint="eastAsia" w:ascii="仿宋_GB2312" w:hAnsi="宋体" w:eastAsia="仿宋_GB2312"/>
          <w:sz w:val="24"/>
        </w:rPr>
        <w:t>附表</w:t>
      </w:r>
    </w:p>
    <w:p>
      <w:pPr>
        <w:pStyle w:val="4"/>
        <w:spacing w:line="360" w:lineRule="auto"/>
        <w:ind w:firstLine="480"/>
        <w:jc w:val="center"/>
        <w:rPr>
          <w:rFonts w:ascii="宋体" w:hAnsi="宋体"/>
          <w:b/>
          <w:sz w:val="36"/>
          <w:szCs w:val="36"/>
        </w:rPr>
      </w:pPr>
      <w:r>
        <w:rPr>
          <w:rFonts w:hint="eastAsia" w:ascii="仿宋_GB2312" w:hAnsi="宋体" w:eastAsia="仿宋_GB2312"/>
          <w:sz w:val="24"/>
        </w:rPr>
        <w:t>《设施春白菜栽培技术规程》标准征求意见汇总处理表</w:t>
      </w:r>
    </w:p>
    <w:p>
      <w:pPr>
        <w:pStyle w:val="4"/>
        <w:spacing w:line="360" w:lineRule="auto"/>
        <w:ind w:firstLine="480"/>
        <w:jc w:val="center"/>
        <w:rPr>
          <w:rFonts w:ascii="仿宋_GB2312" w:hAnsi="宋体" w:eastAsia="仿宋_GB2312"/>
          <w:sz w:val="24"/>
        </w:rPr>
      </w:pPr>
    </w:p>
    <w:p>
      <w:pPr>
        <w:pStyle w:val="4"/>
        <w:spacing w:line="360" w:lineRule="auto"/>
        <w:ind w:firstLine="480"/>
        <w:jc w:val="left"/>
        <w:rPr>
          <w:rFonts w:ascii="仿宋_GB2312" w:hAnsi="宋体" w:eastAsia="仿宋_GB2312"/>
          <w:sz w:val="24"/>
        </w:rPr>
      </w:pPr>
      <w:r>
        <w:rPr>
          <w:rFonts w:hint="eastAsia" w:ascii="仿宋_GB2312" w:hAnsi="宋体" w:eastAsia="仿宋_GB2312"/>
          <w:sz w:val="24"/>
        </w:rPr>
        <w:t>起草单位：山西农业大学</w:t>
      </w:r>
    </w:p>
    <w:p>
      <w:pPr>
        <w:pStyle w:val="4"/>
        <w:spacing w:line="360" w:lineRule="auto"/>
        <w:ind w:firstLine="480"/>
        <w:jc w:val="left"/>
        <w:rPr>
          <w:rFonts w:ascii="仿宋_GB2312" w:hAnsi="宋体" w:eastAsia="仿宋_GB2312"/>
          <w:sz w:val="24"/>
        </w:rPr>
      </w:pPr>
      <w:r>
        <w:rPr>
          <w:rFonts w:hint="eastAsia" w:ascii="仿宋_GB2312" w:hAnsi="宋体" w:eastAsia="仿宋_GB2312"/>
          <w:sz w:val="24"/>
        </w:rPr>
        <w:t xml:space="preserve">承办人：李改珍               联系电话：13099085901                填写时间：2024年 1月 13日 </w:t>
      </w:r>
    </w:p>
    <w:tbl>
      <w:tblPr>
        <w:tblStyle w:val="12"/>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1445"/>
        <w:gridCol w:w="4678"/>
        <w:gridCol w:w="2551"/>
        <w:gridCol w:w="2126"/>
        <w:gridCol w:w="2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0" w:type="dxa"/>
            <w:noWrap/>
            <w:vAlign w:val="center"/>
          </w:tcPr>
          <w:p>
            <w:pPr>
              <w:jc w:val="center"/>
              <w:rPr>
                <w:rFonts w:ascii="仿宋_GB2312" w:hAnsi="宋体" w:eastAsia="仿宋_GB2312"/>
                <w:sz w:val="24"/>
              </w:rPr>
            </w:pPr>
            <w:r>
              <w:rPr>
                <w:rFonts w:hint="eastAsia" w:ascii="仿宋_GB2312" w:hAnsi="宋体" w:eastAsia="仿宋_GB2312"/>
                <w:sz w:val="24"/>
              </w:rPr>
              <w:t>序号</w:t>
            </w:r>
          </w:p>
        </w:tc>
        <w:tc>
          <w:tcPr>
            <w:tcW w:w="1445" w:type="dxa"/>
            <w:noWrap/>
            <w:vAlign w:val="center"/>
          </w:tcPr>
          <w:p>
            <w:pPr>
              <w:jc w:val="center"/>
              <w:rPr>
                <w:rFonts w:ascii="仿宋_GB2312" w:hAnsi="宋体" w:eastAsia="仿宋_GB2312"/>
                <w:sz w:val="24"/>
              </w:rPr>
            </w:pPr>
            <w:r>
              <w:rPr>
                <w:rFonts w:hint="eastAsia" w:ascii="仿宋_GB2312" w:hAnsi="宋体" w:eastAsia="仿宋_GB2312"/>
                <w:sz w:val="24"/>
              </w:rPr>
              <w:t>标准</w:t>
            </w:r>
          </w:p>
          <w:p>
            <w:pPr>
              <w:jc w:val="center"/>
              <w:rPr>
                <w:rFonts w:ascii="仿宋_GB2312" w:hAnsi="宋体" w:eastAsia="仿宋_GB2312"/>
                <w:sz w:val="24"/>
              </w:rPr>
            </w:pPr>
            <w:r>
              <w:rPr>
                <w:rFonts w:hint="eastAsia" w:ascii="仿宋_GB2312" w:hAnsi="宋体" w:eastAsia="仿宋_GB2312"/>
                <w:sz w:val="24"/>
              </w:rPr>
              <w:t>章条编号</w:t>
            </w:r>
          </w:p>
        </w:tc>
        <w:tc>
          <w:tcPr>
            <w:tcW w:w="4678" w:type="dxa"/>
            <w:noWrap/>
            <w:vAlign w:val="center"/>
          </w:tcPr>
          <w:p>
            <w:pPr>
              <w:jc w:val="center"/>
              <w:rPr>
                <w:rFonts w:ascii="仿宋_GB2312" w:hAnsi="宋体" w:eastAsia="仿宋_GB2312"/>
                <w:sz w:val="24"/>
              </w:rPr>
            </w:pPr>
            <w:r>
              <w:rPr>
                <w:rFonts w:hint="eastAsia" w:ascii="仿宋_GB2312" w:hAnsi="宋体" w:eastAsia="仿宋_GB2312"/>
                <w:sz w:val="24"/>
              </w:rPr>
              <w:t>意见内容</w:t>
            </w:r>
          </w:p>
        </w:tc>
        <w:tc>
          <w:tcPr>
            <w:tcW w:w="2551" w:type="dxa"/>
            <w:noWrap/>
            <w:vAlign w:val="center"/>
          </w:tcPr>
          <w:p>
            <w:pPr>
              <w:jc w:val="center"/>
              <w:rPr>
                <w:rFonts w:ascii="仿宋_GB2312" w:hAnsi="宋体" w:eastAsia="仿宋_GB2312"/>
                <w:sz w:val="24"/>
              </w:rPr>
            </w:pPr>
            <w:r>
              <w:rPr>
                <w:rFonts w:hint="eastAsia" w:ascii="仿宋_GB2312" w:hAnsi="宋体" w:eastAsia="仿宋_GB2312"/>
                <w:sz w:val="24"/>
              </w:rPr>
              <w:t>提出单位（或个人）</w:t>
            </w:r>
          </w:p>
        </w:tc>
        <w:tc>
          <w:tcPr>
            <w:tcW w:w="2126" w:type="dxa"/>
            <w:noWrap/>
            <w:vAlign w:val="center"/>
          </w:tcPr>
          <w:p>
            <w:pPr>
              <w:jc w:val="center"/>
              <w:rPr>
                <w:rFonts w:ascii="仿宋_GB2312" w:hAnsi="宋体" w:eastAsia="仿宋_GB2312"/>
                <w:sz w:val="24"/>
              </w:rPr>
            </w:pPr>
            <w:r>
              <w:rPr>
                <w:rFonts w:hint="eastAsia" w:ascii="仿宋_GB2312" w:hAnsi="宋体" w:eastAsia="仿宋_GB2312"/>
                <w:sz w:val="24"/>
              </w:rPr>
              <w:t>处理意见</w:t>
            </w:r>
          </w:p>
          <w:p>
            <w:pPr>
              <w:jc w:val="center"/>
              <w:rPr>
                <w:rFonts w:ascii="仿宋_GB2312" w:hAnsi="宋体" w:eastAsia="仿宋_GB2312"/>
                <w:sz w:val="24"/>
              </w:rPr>
            </w:pPr>
            <w:r>
              <w:rPr>
                <w:rFonts w:hint="eastAsia" w:ascii="仿宋_GB2312" w:hAnsi="宋体" w:eastAsia="仿宋_GB2312"/>
                <w:sz w:val="24"/>
              </w:rPr>
              <w:t>（采纳/不采纳）</w:t>
            </w:r>
          </w:p>
        </w:tc>
        <w:tc>
          <w:tcPr>
            <w:tcW w:w="2390" w:type="dxa"/>
            <w:noWrap/>
            <w:vAlign w:val="center"/>
          </w:tcPr>
          <w:p>
            <w:pPr>
              <w:jc w:val="center"/>
              <w:rPr>
                <w:rFonts w:ascii="仿宋_GB2312" w:hAnsi="宋体" w:eastAsia="仿宋_GB2312"/>
                <w:sz w:val="24"/>
              </w:rPr>
            </w:pPr>
            <w:r>
              <w:rPr>
                <w:rFonts w:hint="eastAsia" w:ascii="仿宋_GB2312" w:hAnsi="宋体" w:eastAsia="仿宋_GB2312"/>
                <w:sz w:val="24"/>
              </w:rPr>
              <w:t>意见处理说明</w:t>
            </w:r>
          </w:p>
          <w:p>
            <w:pPr>
              <w:jc w:val="center"/>
              <w:rPr>
                <w:rFonts w:ascii="仿宋_GB2312" w:hAnsi="宋体" w:eastAsia="仿宋_GB2312"/>
                <w:sz w:val="24"/>
              </w:rPr>
            </w:pPr>
            <w:r>
              <w:rPr>
                <w:rFonts w:hint="eastAsia" w:ascii="仿宋_GB2312" w:hAnsi="宋体" w:eastAsia="仿宋_GB2312"/>
                <w:sz w:val="24"/>
              </w:rPr>
              <w:t>（不采纳理由等）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540" w:type="dxa"/>
            <w:noWrap/>
            <w:vAlign w:val="center"/>
          </w:tcPr>
          <w:p>
            <w:pPr>
              <w:jc w:val="center"/>
              <w:rPr>
                <w:rFonts w:ascii="仿宋_GB2312" w:hAnsi="宋体" w:eastAsia="仿宋_GB2312"/>
                <w:sz w:val="24"/>
              </w:rPr>
            </w:pPr>
            <w:r>
              <w:rPr>
                <w:rFonts w:hint="eastAsia" w:ascii="仿宋_GB2312" w:hAnsi="宋体" w:eastAsia="仿宋_GB2312"/>
                <w:sz w:val="24"/>
              </w:rPr>
              <w:t>1</w:t>
            </w:r>
          </w:p>
        </w:tc>
        <w:tc>
          <w:tcPr>
            <w:tcW w:w="1445" w:type="dxa"/>
            <w:noWrap/>
            <w:vAlign w:val="center"/>
          </w:tcPr>
          <w:p>
            <w:pPr>
              <w:jc w:val="center"/>
              <w:rPr>
                <w:rFonts w:ascii="仿宋_GB2312" w:hAnsi="宋体" w:eastAsia="仿宋_GB2312"/>
                <w:sz w:val="24"/>
              </w:rPr>
            </w:pPr>
            <w:r>
              <w:rPr>
                <w:rFonts w:hint="eastAsia" w:ascii="仿宋_GB2312" w:hAnsi="宋体" w:eastAsia="仿宋_GB2312"/>
                <w:sz w:val="24"/>
              </w:rPr>
              <w:t>全文</w:t>
            </w:r>
          </w:p>
        </w:tc>
        <w:tc>
          <w:tcPr>
            <w:tcW w:w="4678" w:type="dxa"/>
            <w:noWrap/>
            <w:vAlign w:val="center"/>
          </w:tcPr>
          <w:p>
            <w:pPr>
              <w:pStyle w:val="28"/>
              <w:ind w:firstLine="480"/>
              <w:jc w:val="center"/>
              <w:rPr>
                <w:rFonts w:ascii="仿宋_GB2312" w:hAnsi="宋体" w:eastAsia="仿宋_GB2312"/>
                <w:kern w:val="2"/>
                <w:sz w:val="24"/>
                <w:szCs w:val="24"/>
              </w:rPr>
            </w:pPr>
            <w:r>
              <w:rPr>
                <w:rFonts w:hint="eastAsia" w:ascii="仿宋_GB2312" w:hAnsi="宋体" w:eastAsia="仿宋_GB2312"/>
                <w:kern w:val="2"/>
                <w:sz w:val="24"/>
                <w:szCs w:val="24"/>
              </w:rPr>
              <w:t>规范部分标准化用语。</w:t>
            </w:r>
          </w:p>
        </w:tc>
        <w:tc>
          <w:tcPr>
            <w:tcW w:w="2551" w:type="dxa"/>
            <w:noWrap/>
            <w:vAlign w:val="center"/>
          </w:tcPr>
          <w:p>
            <w:pPr>
              <w:jc w:val="center"/>
              <w:rPr>
                <w:rFonts w:ascii="仿宋_GB2312" w:hAnsi="宋体" w:eastAsia="仿宋_GB2312"/>
                <w:sz w:val="24"/>
              </w:rPr>
            </w:pPr>
            <w:r>
              <w:rPr>
                <w:rFonts w:hint="eastAsia" w:ascii="仿宋_GB2312" w:hAnsi="宋体" w:eastAsia="仿宋_GB2312"/>
                <w:sz w:val="24"/>
              </w:rPr>
              <w:t>山西省园艺产业</w:t>
            </w:r>
          </w:p>
          <w:p>
            <w:pPr>
              <w:jc w:val="center"/>
              <w:rPr>
                <w:rFonts w:ascii="仿宋_GB2312" w:hAnsi="宋体" w:eastAsia="仿宋_GB2312"/>
                <w:sz w:val="24"/>
              </w:rPr>
            </w:pPr>
            <w:r>
              <w:rPr>
                <w:rFonts w:hint="eastAsia" w:ascii="仿宋_GB2312" w:hAnsi="宋体" w:eastAsia="仿宋_GB2312"/>
                <w:sz w:val="24"/>
              </w:rPr>
              <w:t>发展中心</w:t>
            </w:r>
          </w:p>
        </w:tc>
        <w:tc>
          <w:tcPr>
            <w:tcW w:w="2126" w:type="dxa"/>
            <w:noWrap/>
            <w:vAlign w:val="center"/>
          </w:tcPr>
          <w:p>
            <w:pPr>
              <w:jc w:val="center"/>
              <w:rPr>
                <w:rFonts w:ascii="仿宋_GB2312" w:hAnsi="宋体" w:eastAsia="仿宋_GB2312"/>
                <w:sz w:val="24"/>
              </w:rPr>
            </w:pPr>
            <w:r>
              <w:rPr>
                <w:rFonts w:hint="eastAsia" w:ascii="仿宋_GB2312" w:hAnsi="宋体" w:eastAsia="仿宋_GB2312"/>
                <w:sz w:val="24"/>
              </w:rPr>
              <w:t>采纳</w:t>
            </w:r>
          </w:p>
        </w:tc>
        <w:tc>
          <w:tcPr>
            <w:tcW w:w="2390" w:type="dxa"/>
            <w:noWrap/>
            <w:vAlign w:val="center"/>
          </w:tcPr>
          <w:p>
            <w:pPr>
              <w:jc w:val="center"/>
              <w:rPr>
                <w:rFonts w:ascii="仿宋_GB2312" w:hAnsi="宋体" w:eastAsia="仿宋_GB2312"/>
                <w:sz w:val="24"/>
              </w:rPr>
            </w:pPr>
            <w:r>
              <w:rPr>
                <w:rFonts w:hint="eastAsia" w:ascii="仿宋_GB2312" w:hAnsi="宋体" w:eastAsia="仿宋_GB2312"/>
                <w:sz w:val="24"/>
              </w:rPr>
              <w:t>已修改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540" w:type="dxa"/>
            <w:noWrap/>
            <w:vAlign w:val="center"/>
          </w:tcPr>
          <w:p>
            <w:pPr>
              <w:jc w:val="center"/>
              <w:rPr>
                <w:rFonts w:ascii="仿宋_GB2312" w:hAnsi="宋体" w:eastAsia="仿宋_GB2312"/>
                <w:sz w:val="24"/>
              </w:rPr>
            </w:pPr>
            <w:r>
              <w:rPr>
                <w:rFonts w:hint="eastAsia" w:ascii="仿宋_GB2312" w:hAnsi="宋体" w:eastAsia="仿宋_GB2312"/>
                <w:sz w:val="24"/>
              </w:rPr>
              <w:t>2</w:t>
            </w:r>
          </w:p>
        </w:tc>
        <w:tc>
          <w:tcPr>
            <w:tcW w:w="1445" w:type="dxa"/>
            <w:noWrap/>
            <w:vAlign w:val="center"/>
          </w:tcPr>
          <w:p>
            <w:pPr>
              <w:jc w:val="center"/>
              <w:rPr>
                <w:rFonts w:ascii="仿宋_GB2312" w:hAnsi="宋体" w:eastAsia="仿宋_GB2312"/>
                <w:sz w:val="24"/>
              </w:rPr>
            </w:pPr>
            <w:r>
              <w:rPr>
                <w:rFonts w:hint="eastAsia" w:ascii="仿宋_GB2312" w:hAnsi="宋体" w:eastAsia="仿宋_GB2312"/>
                <w:sz w:val="24"/>
              </w:rPr>
              <w:t>5.5.3</w:t>
            </w:r>
          </w:p>
        </w:tc>
        <w:tc>
          <w:tcPr>
            <w:tcW w:w="4678" w:type="dxa"/>
            <w:noWrap/>
            <w:vAlign w:val="center"/>
          </w:tcPr>
          <w:p>
            <w:pPr>
              <w:pStyle w:val="28"/>
              <w:ind w:firstLine="480"/>
              <w:jc w:val="center"/>
              <w:rPr>
                <w:rFonts w:ascii="仿宋_GB2312" w:hAnsi="宋体" w:eastAsia="仿宋_GB2312"/>
                <w:kern w:val="2"/>
                <w:sz w:val="24"/>
                <w:szCs w:val="24"/>
              </w:rPr>
            </w:pPr>
            <w:r>
              <w:rPr>
                <w:rFonts w:hint="eastAsia" w:ascii="仿宋_GB2312" w:hAnsi="宋体" w:eastAsia="仿宋_GB2312"/>
                <w:kern w:val="2"/>
                <w:sz w:val="24"/>
                <w:szCs w:val="24"/>
              </w:rPr>
              <w:t>增加“机械播种”内容</w:t>
            </w:r>
          </w:p>
        </w:tc>
        <w:tc>
          <w:tcPr>
            <w:tcW w:w="2551" w:type="dxa"/>
            <w:noWrap/>
            <w:vAlign w:val="center"/>
          </w:tcPr>
          <w:p>
            <w:pPr>
              <w:jc w:val="center"/>
              <w:rPr>
                <w:rFonts w:ascii="仿宋_GB2312" w:hAnsi="宋体" w:eastAsia="仿宋_GB2312"/>
                <w:sz w:val="24"/>
              </w:rPr>
            </w:pPr>
            <w:r>
              <w:rPr>
                <w:rFonts w:hint="eastAsia" w:ascii="仿宋_GB2312" w:hAnsi="宋体" w:eastAsia="仿宋_GB2312"/>
                <w:sz w:val="24"/>
              </w:rPr>
              <w:t>山西省园艺产业</w:t>
            </w:r>
          </w:p>
          <w:p>
            <w:pPr>
              <w:jc w:val="center"/>
              <w:rPr>
                <w:rFonts w:ascii="仿宋_GB2312" w:hAnsi="宋体" w:eastAsia="仿宋_GB2312"/>
                <w:sz w:val="24"/>
              </w:rPr>
            </w:pPr>
            <w:r>
              <w:rPr>
                <w:rFonts w:hint="eastAsia" w:ascii="仿宋_GB2312" w:hAnsi="宋体" w:eastAsia="仿宋_GB2312"/>
                <w:sz w:val="24"/>
              </w:rPr>
              <w:t>发展中心</w:t>
            </w:r>
          </w:p>
        </w:tc>
        <w:tc>
          <w:tcPr>
            <w:tcW w:w="2126" w:type="dxa"/>
            <w:noWrap/>
            <w:vAlign w:val="center"/>
          </w:tcPr>
          <w:p>
            <w:pPr>
              <w:jc w:val="center"/>
              <w:rPr>
                <w:rFonts w:ascii="仿宋_GB2312" w:hAnsi="宋体" w:eastAsia="仿宋_GB2312"/>
                <w:sz w:val="24"/>
              </w:rPr>
            </w:pPr>
            <w:r>
              <w:rPr>
                <w:rFonts w:hint="eastAsia" w:ascii="仿宋_GB2312" w:hAnsi="宋体" w:eastAsia="仿宋_GB2312"/>
                <w:sz w:val="24"/>
              </w:rPr>
              <w:t>采纳</w:t>
            </w:r>
          </w:p>
        </w:tc>
        <w:tc>
          <w:tcPr>
            <w:tcW w:w="2390" w:type="dxa"/>
            <w:noWrap/>
            <w:vAlign w:val="center"/>
          </w:tcPr>
          <w:p>
            <w:pPr>
              <w:jc w:val="center"/>
              <w:rPr>
                <w:rFonts w:ascii="仿宋_GB2312" w:hAnsi="宋体" w:eastAsia="仿宋_GB2312"/>
                <w:sz w:val="24"/>
              </w:rPr>
            </w:pPr>
            <w:r>
              <w:rPr>
                <w:rFonts w:hint="eastAsia" w:ascii="仿宋_GB2312" w:hAnsi="宋体" w:eastAsia="仿宋_GB2312"/>
                <w:sz w:val="24"/>
              </w:rPr>
              <w:t>已修改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540" w:type="dxa"/>
            <w:noWrap/>
            <w:vAlign w:val="center"/>
          </w:tcPr>
          <w:p>
            <w:pPr>
              <w:jc w:val="center"/>
              <w:rPr>
                <w:rFonts w:ascii="仿宋_GB2312" w:hAnsi="宋体" w:eastAsia="仿宋_GB2312"/>
                <w:sz w:val="24"/>
              </w:rPr>
            </w:pPr>
            <w:r>
              <w:rPr>
                <w:rFonts w:hint="eastAsia" w:ascii="仿宋_GB2312" w:hAnsi="宋体" w:eastAsia="仿宋_GB2312"/>
                <w:sz w:val="24"/>
              </w:rPr>
              <w:t>3</w:t>
            </w:r>
          </w:p>
        </w:tc>
        <w:tc>
          <w:tcPr>
            <w:tcW w:w="1445" w:type="dxa"/>
            <w:noWrap/>
            <w:vAlign w:val="center"/>
          </w:tcPr>
          <w:p>
            <w:pPr>
              <w:jc w:val="center"/>
              <w:rPr>
                <w:rFonts w:ascii="仿宋_GB2312" w:hAnsi="宋体" w:eastAsia="仿宋_GB2312"/>
                <w:sz w:val="24"/>
              </w:rPr>
            </w:pPr>
            <w:r>
              <w:rPr>
                <w:rFonts w:hint="eastAsia" w:ascii="仿宋_GB2312" w:hAnsi="宋体" w:eastAsia="仿宋_GB2312"/>
                <w:sz w:val="24"/>
              </w:rPr>
              <w:t>6.1</w:t>
            </w:r>
          </w:p>
        </w:tc>
        <w:tc>
          <w:tcPr>
            <w:tcW w:w="4678" w:type="dxa"/>
            <w:noWrap/>
            <w:vAlign w:val="center"/>
          </w:tcPr>
          <w:p>
            <w:pPr>
              <w:pStyle w:val="28"/>
              <w:ind w:firstLine="480"/>
              <w:jc w:val="center"/>
              <w:rPr>
                <w:rFonts w:ascii="仿宋_GB2312" w:hAnsi="宋体" w:eastAsia="仿宋_GB2312"/>
                <w:kern w:val="2"/>
                <w:sz w:val="24"/>
                <w:szCs w:val="24"/>
              </w:rPr>
            </w:pPr>
            <w:r>
              <w:rPr>
                <w:rFonts w:hint="eastAsia" w:ascii="仿宋_GB2312" w:hAnsi="宋体" w:eastAsia="仿宋_GB2312"/>
                <w:kern w:val="2"/>
                <w:sz w:val="24"/>
                <w:szCs w:val="24"/>
              </w:rPr>
              <w:t>修改“整地施肥”部分内容</w:t>
            </w:r>
          </w:p>
        </w:tc>
        <w:tc>
          <w:tcPr>
            <w:tcW w:w="2551" w:type="dxa"/>
            <w:noWrap/>
            <w:vAlign w:val="center"/>
          </w:tcPr>
          <w:p>
            <w:pPr>
              <w:jc w:val="center"/>
              <w:rPr>
                <w:rFonts w:ascii="仿宋_GB2312" w:hAnsi="宋体" w:eastAsia="仿宋_GB2312"/>
                <w:sz w:val="24"/>
              </w:rPr>
            </w:pPr>
            <w:r>
              <w:rPr>
                <w:rFonts w:hint="eastAsia" w:ascii="仿宋_GB2312" w:hAnsi="宋体" w:eastAsia="仿宋_GB2312"/>
                <w:sz w:val="24"/>
              </w:rPr>
              <w:t>山西蔬菜产业</w:t>
            </w:r>
          </w:p>
          <w:p>
            <w:pPr>
              <w:jc w:val="center"/>
              <w:rPr>
                <w:rFonts w:ascii="仿宋_GB2312" w:hAnsi="宋体" w:eastAsia="仿宋_GB2312"/>
                <w:sz w:val="24"/>
              </w:rPr>
            </w:pPr>
            <w:r>
              <w:rPr>
                <w:rFonts w:hint="eastAsia" w:ascii="仿宋_GB2312" w:hAnsi="宋体" w:eastAsia="仿宋_GB2312"/>
                <w:sz w:val="24"/>
              </w:rPr>
              <w:t>技术体系</w:t>
            </w:r>
          </w:p>
        </w:tc>
        <w:tc>
          <w:tcPr>
            <w:tcW w:w="2126" w:type="dxa"/>
            <w:noWrap/>
            <w:vAlign w:val="center"/>
          </w:tcPr>
          <w:p>
            <w:pPr>
              <w:jc w:val="center"/>
              <w:rPr>
                <w:rFonts w:ascii="仿宋_GB2312" w:hAnsi="宋体" w:eastAsia="仿宋_GB2312"/>
                <w:sz w:val="24"/>
              </w:rPr>
            </w:pPr>
            <w:r>
              <w:rPr>
                <w:rFonts w:hint="eastAsia" w:ascii="仿宋_GB2312" w:hAnsi="宋体" w:eastAsia="仿宋_GB2312"/>
                <w:sz w:val="24"/>
              </w:rPr>
              <w:t>采纳</w:t>
            </w:r>
          </w:p>
        </w:tc>
        <w:tc>
          <w:tcPr>
            <w:tcW w:w="2390" w:type="dxa"/>
            <w:noWrap/>
            <w:vAlign w:val="center"/>
          </w:tcPr>
          <w:p>
            <w:pPr>
              <w:jc w:val="center"/>
              <w:rPr>
                <w:rFonts w:ascii="仿宋_GB2312" w:hAnsi="宋体" w:eastAsia="仿宋_GB2312"/>
                <w:sz w:val="24"/>
              </w:rPr>
            </w:pPr>
            <w:r>
              <w:rPr>
                <w:rFonts w:hint="eastAsia" w:ascii="仿宋_GB2312" w:hAnsi="宋体" w:eastAsia="仿宋_GB2312"/>
                <w:sz w:val="24"/>
              </w:rPr>
              <w:t>已修改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540" w:type="dxa"/>
            <w:noWrap/>
            <w:vAlign w:val="center"/>
          </w:tcPr>
          <w:p>
            <w:pPr>
              <w:jc w:val="center"/>
              <w:rPr>
                <w:rFonts w:ascii="仿宋_GB2312" w:hAnsi="宋体" w:eastAsia="仿宋_GB2312"/>
                <w:sz w:val="24"/>
              </w:rPr>
            </w:pPr>
            <w:r>
              <w:rPr>
                <w:rFonts w:hint="eastAsia" w:ascii="仿宋_GB2312" w:hAnsi="宋体" w:eastAsia="仿宋_GB2312"/>
                <w:sz w:val="24"/>
              </w:rPr>
              <w:t>4</w:t>
            </w:r>
          </w:p>
        </w:tc>
        <w:tc>
          <w:tcPr>
            <w:tcW w:w="1445" w:type="dxa"/>
            <w:noWrap/>
            <w:vAlign w:val="center"/>
          </w:tcPr>
          <w:p>
            <w:pPr>
              <w:jc w:val="center"/>
              <w:rPr>
                <w:rFonts w:ascii="仿宋_GB2312" w:hAnsi="宋体" w:eastAsia="仿宋_GB2312"/>
                <w:sz w:val="24"/>
              </w:rPr>
            </w:pPr>
            <w:r>
              <w:rPr>
                <w:rFonts w:hint="eastAsia" w:ascii="仿宋_GB2312" w:hAnsi="宋体" w:eastAsia="仿宋_GB2312"/>
                <w:sz w:val="24"/>
              </w:rPr>
              <w:t>8.2.1</w:t>
            </w:r>
          </w:p>
        </w:tc>
        <w:tc>
          <w:tcPr>
            <w:tcW w:w="4678" w:type="dxa"/>
            <w:noWrap/>
            <w:vAlign w:val="center"/>
          </w:tcPr>
          <w:p>
            <w:pPr>
              <w:jc w:val="center"/>
              <w:rPr>
                <w:rFonts w:ascii="仿宋_GB2312" w:hAnsi="宋体" w:eastAsia="仿宋_GB2312"/>
                <w:sz w:val="24"/>
              </w:rPr>
            </w:pPr>
            <w:r>
              <w:rPr>
                <w:rFonts w:hint="eastAsia" w:ascii="仿宋_GB2312" w:hAnsi="宋体" w:eastAsia="仿宋_GB2312"/>
                <w:sz w:val="24"/>
              </w:rPr>
              <w:t>完善“农业防治”技术增加病虫害防止部分药品类型，细化喷施浓度及喷施方法</w:t>
            </w:r>
          </w:p>
        </w:tc>
        <w:tc>
          <w:tcPr>
            <w:tcW w:w="2551" w:type="dxa"/>
            <w:noWrap/>
            <w:vAlign w:val="center"/>
          </w:tcPr>
          <w:p>
            <w:pPr>
              <w:jc w:val="center"/>
              <w:rPr>
                <w:rFonts w:ascii="仿宋_GB2312" w:hAnsi="宋体" w:eastAsia="仿宋_GB2312"/>
                <w:sz w:val="24"/>
              </w:rPr>
            </w:pPr>
            <w:r>
              <w:rPr>
                <w:rFonts w:hint="eastAsia" w:ascii="仿宋_GB2312" w:hAnsi="宋体" w:eastAsia="仿宋_GB2312"/>
                <w:sz w:val="24"/>
              </w:rPr>
              <w:t>山西蔬菜产业</w:t>
            </w:r>
          </w:p>
          <w:p>
            <w:pPr>
              <w:jc w:val="center"/>
              <w:rPr>
                <w:rFonts w:ascii="仿宋_GB2312" w:hAnsi="宋体" w:eastAsia="仿宋_GB2312"/>
                <w:sz w:val="24"/>
              </w:rPr>
            </w:pPr>
            <w:r>
              <w:rPr>
                <w:rFonts w:hint="eastAsia" w:ascii="仿宋_GB2312" w:hAnsi="宋体" w:eastAsia="仿宋_GB2312"/>
                <w:sz w:val="24"/>
              </w:rPr>
              <w:t>技术体系</w:t>
            </w:r>
          </w:p>
        </w:tc>
        <w:tc>
          <w:tcPr>
            <w:tcW w:w="2126" w:type="dxa"/>
            <w:noWrap/>
            <w:vAlign w:val="center"/>
          </w:tcPr>
          <w:p>
            <w:pPr>
              <w:jc w:val="center"/>
              <w:rPr>
                <w:rFonts w:ascii="仿宋_GB2312" w:hAnsi="宋体" w:eastAsia="仿宋_GB2312"/>
                <w:sz w:val="24"/>
              </w:rPr>
            </w:pPr>
            <w:r>
              <w:rPr>
                <w:rFonts w:hint="eastAsia" w:ascii="仿宋_GB2312" w:hAnsi="宋体" w:eastAsia="仿宋_GB2312"/>
                <w:sz w:val="24"/>
              </w:rPr>
              <w:t>采纳</w:t>
            </w:r>
          </w:p>
        </w:tc>
        <w:tc>
          <w:tcPr>
            <w:tcW w:w="2390" w:type="dxa"/>
            <w:noWrap/>
            <w:vAlign w:val="center"/>
          </w:tcPr>
          <w:p>
            <w:pPr>
              <w:jc w:val="center"/>
              <w:rPr>
                <w:rFonts w:ascii="仿宋_GB2312" w:hAnsi="宋体" w:eastAsia="仿宋_GB2312"/>
                <w:sz w:val="24"/>
              </w:rPr>
            </w:pPr>
            <w:r>
              <w:rPr>
                <w:rFonts w:hint="eastAsia" w:ascii="仿宋_GB2312" w:hAnsi="宋体" w:eastAsia="仿宋_GB2312"/>
                <w:sz w:val="24"/>
              </w:rPr>
              <w:t>已修改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540" w:type="dxa"/>
            <w:noWrap/>
            <w:vAlign w:val="center"/>
          </w:tcPr>
          <w:p>
            <w:pPr>
              <w:jc w:val="center"/>
              <w:rPr>
                <w:rFonts w:ascii="仿宋_GB2312" w:hAnsi="宋体" w:eastAsia="仿宋_GB2312"/>
                <w:sz w:val="24"/>
              </w:rPr>
            </w:pPr>
            <w:r>
              <w:rPr>
                <w:rFonts w:hint="eastAsia" w:ascii="仿宋_GB2312" w:hAnsi="宋体" w:eastAsia="仿宋_GB2312"/>
                <w:sz w:val="24"/>
              </w:rPr>
              <w:t>5</w:t>
            </w:r>
          </w:p>
        </w:tc>
        <w:tc>
          <w:tcPr>
            <w:tcW w:w="1445" w:type="dxa"/>
            <w:noWrap/>
            <w:vAlign w:val="center"/>
          </w:tcPr>
          <w:p>
            <w:pPr>
              <w:jc w:val="center"/>
              <w:rPr>
                <w:rFonts w:ascii="仿宋_GB2312" w:hAnsi="宋体" w:eastAsia="仿宋_GB2312"/>
                <w:sz w:val="24"/>
              </w:rPr>
            </w:pPr>
            <w:r>
              <w:rPr>
                <w:rFonts w:hint="eastAsia" w:ascii="仿宋_GB2312" w:hAnsi="宋体" w:eastAsia="仿宋_GB2312"/>
                <w:sz w:val="24"/>
              </w:rPr>
              <w:t>8.2.2</w:t>
            </w:r>
          </w:p>
        </w:tc>
        <w:tc>
          <w:tcPr>
            <w:tcW w:w="4678" w:type="dxa"/>
            <w:noWrap/>
            <w:vAlign w:val="center"/>
          </w:tcPr>
          <w:p>
            <w:pPr>
              <w:ind w:firstLine="480" w:firstLineChars="200"/>
              <w:jc w:val="center"/>
              <w:rPr>
                <w:rFonts w:ascii="仿宋_GB2312" w:hAnsi="宋体" w:eastAsia="仿宋_GB2312"/>
                <w:sz w:val="24"/>
              </w:rPr>
            </w:pPr>
            <w:r>
              <w:rPr>
                <w:rFonts w:hint="eastAsia" w:ascii="仿宋_GB2312" w:hAnsi="宋体" w:eastAsia="仿宋_GB2312"/>
                <w:sz w:val="24"/>
              </w:rPr>
              <w:t>完善“物理防治”技术</w:t>
            </w:r>
          </w:p>
        </w:tc>
        <w:tc>
          <w:tcPr>
            <w:tcW w:w="2551" w:type="dxa"/>
            <w:noWrap/>
            <w:vAlign w:val="center"/>
          </w:tcPr>
          <w:p>
            <w:pPr>
              <w:jc w:val="center"/>
              <w:rPr>
                <w:rFonts w:ascii="仿宋_GB2312" w:hAnsi="宋体" w:eastAsia="仿宋_GB2312"/>
                <w:sz w:val="24"/>
              </w:rPr>
            </w:pPr>
            <w:r>
              <w:rPr>
                <w:rFonts w:hint="eastAsia" w:ascii="仿宋_GB2312" w:hAnsi="宋体" w:eastAsia="仿宋_GB2312"/>
                <w:sz w:val="24"/>
              </w:rPr>
              <w:t>山西蔬菜产业</w:t>
            </w:r>
          </w:p>
          <w:p>
            <w:pPr>
              <w:jc w:val="center"/>
              <w:rPr>
                <w:rFonts w:ascii="仿宋_GB2312" w:hAnsi="宋体" w:eastAsia="仿宋_GB2312"/>
                <w:sz w:val="24"/>
              </w:rPr>
            </w:pPr>
            <w:r>
              <w:rPr>
                <w:rFonts w:hint="eastAsia" w:ascii="仿宋_GB2312" w:hAnsi="宋体" w:eastAsia="仿宋_GB2312"/>
                <w:sz w:val="24"/>
              </w:rPr>
              <w:t>技术体系</w:t>
            </w:r>
          </w:p>
        </w:tc>
        <w:tc>
          <w:tcPr>
            <w:tcW w:w="2126" w:type="dxa"/>
            <w:noWrap/>
            <w:vAlign w:val="center"/>
          </w:tcPr>
          <w:p>
            <w:pPr>
              <w:jc w:val="center"/>
              <w:rPr>
                <w:rFonts w:ascii="仿宋_GB2312" w:hAnsi="宋体" w:eastAsia="仿宋_GB2312"/>
                <w:sz w:val="24"/>
              </w:rPr>
            </w:pPr>
            <w:r>
              <w:rPr>
                <w:rFonts w:hint="eastAsia" w:ascii="仿宋_GB2312" w:hAnsi="宋体" w:eastAsia="仿宋_GB2312"/>
                <w:sz w:val="24"/>
              </w:rPr>
              <w:t>采纳</w:t>
            </w:r>
          </w:p>
        </w:tc>
        <w:tc>
          <w:tcPr>
            <w:tcW w:w="2390" w:type="dxa"/>
            <w:noWrap/>
            <w:vAlign w:val="center"/>
          </w:tcPr>
          <w:p>
            <w:pPr>
              <w:jc w:val="center"/>
              <w:rPr>
                <w:rFonts w:ascii="仿宋_GB2312" w:hAnsi="宋体" w:eastAsia="仿宋_GB2312"/>
                <w:sz w:val="24"/>
              </w:rPr>
            </w:pPr>
            <w:r>
              <w:rPr>
                <w:rFonts w:hint="eastAsia" w:ascii="仿宋_GB2312" w:hAnsi="宋体" w:eastAsia="仿宋_GB2312"/>
                <w:sz w:val="24"/>
              </w:rPr>
              <w:t>已修改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540" w:type="dxa"/>
            <w:noWrap/>
            <w:vAlign w:val="center"/>
          </w:tcPr>
          <w:p>
            <w:pPr>
              <w:jc w:val="center"/>
              <w:rPr>
                <w:rFonts w:ascii="仿宋_GB2312" w:hAnsi="宋体" w:eastAsia="仿宋_GB2312"/>
                <w:sz w:val="24"/>
              </w:rPr>
            </w:pPr>
            <w:r>
              <w:rPr>
                <w:rFonts w:hint="eastAsia" w:ascii="仿宋_GB2312" w:hAnsi="宋体" w:eastAsia="仿宋_GB2312"/>
                <w:sz w:val="24"/>
              </w:rPr>
              <w:t>6</w:t>
            </w:r>
          </w:p>
        </w:tc>
        <w:tc>
          <w:tcPr>
            <w:tcW w:w="1445" w:type="dxa"/>
            <w:noWrap/>
            <w:vAlign w:val="center"/>
          </w:tcPr>
          <w:p>
            <w:pPr>
              <w:jc w:val="center"/>
              <w:rPr>
                <w:rFonts w:ascii="仿宋_GB2312" w:hAnsi="宋体" w:eastAsia="仿宋_GB2312"/>
                <w:sz w:val="24"/>
              </w:rPr>
            </w:pPr>
            <w:r>
              <w:rPr>
                <w:rFonts w:hint="eastAsia" w:ascii="仿宋_GB2312" w:hAnsi="宋体" w:eastAsia="仿宋_GB2312"/>
                <w:sz w:val="24"/>
              </w:rPr>
              <w:t>8.2.2</w:t>
            </w:r>
          </w:p>
        </w:tc>
        <w:tc>
          <w:tcPr>
            <w:tcW w:w="4678" w:type="dxa"/>
            <w:noWrap/>
            <w:vAlign w:val="center"/>
          </w:tcPr>
          <w:p>
            <w:pPr>
              <w:ind w:firstLine="480" w:firstLineChars="200"/>
              <w:jc w:val="center"/>
              <w:rPr>
                <w:rFonts w:ascii="仿宋_GB2312" w:hAnsi="宋体" w:eastAsia="仿宋_GB2312"/>
                <w:sz w:val="24"/>
              </w:rPr>
            </w:pPr>
            <w:r>
              <w:rPr>
                <w:rFonts w:hint="eastAsia" w:ascii="仿宋_GB2312" w:hAnsi="宋体" w:eastAsia="仿宋_GB2312"/>
                <w:sz w:val="24"/>
              </w:rPr>
              <w:t>完善“生物防治”技术</w:t>
            </w:r>
          </w:p>
        </w:tc>
        <w:tc>
          <w:tcPr>
            <w:tcW w:w="2551" w:type="dxa"/>
            <w:noWrap/>
            <w:vAlign w:val="center"/>
          </w:tcPr>
          <w:p>
            <w:pPr>
              <w:jc w:val="center"/>
              <w:rPr>
                <w:rFonts w:ascii="仿宋_GB2312" w:hAnsi="宋体" w:eastAsia="仿宋_GB2312"/>
                <w:sz w:val="24"/>
              </w:rPr>
            </w:pPr>
            <w:r>
              <w:rPr>
                <w:rFonts w:hint="eastAsia" w:ascii="仿宋_GB2312" w:hAnsi="宋体" w:eastAsia="仿宋_GB2312"/>
                <w:sz w:val="24"/>
              </w:rPr>
              <w:t>山西蔬菜产业</w:t>
            </w:r>
          </w:p>
          <w:p>
            <w:pPr>
              <w:jc w:val="center"/>
              <w:rPr>
                <w:rFonts w:ascii="仿宋_GB2312" w:hAnsi="宋体" w:eastAsia="仿宋_GB2312"/>
                <w:sz w:val="24"/>
              </w:rPr>
            </w:pPr>
            <w:r>
              <w:rPr>
                <w:rFonts w:hint="eastAsia" w:ascii="仿宋_GB2312" w:hAnsi="宋体" w:eastAsia="仿宋_GB2312"/>
                <w:sz w:val="24"/>
              </w:rPr>
              <w:t>技术体系</w:t>
            </w:r>
          </w:p>
        </w:tc>
        <w:tc>
          <w:tcPr>
            <w:tcW w:w="2126" w:type="dxa"/>
            <w:noWrap/>
            <w:vAlign w:val="center"/>
          </w:tcPr>
          <w:p>
            <w:pPr>
              <w:jc w:val="center"/>
              <w:rPr>
                <w:rFonts w:ascii="仿宋_GB2312" w:hAnsi="宋体" w:eastAsia="仿宋_GB2312"/>
                <w:sz w:val="24"/>
              </w:rPr>
            </w:pPr>
            <w:r>
              <w:rPr>
                <w:rFonts w:hint="eastAsia" w:ascii="仿宋_GB2312" w:hAnsi="宋体" w:eastAsia="仿宋_GB2312"/>
                <w:sz w:val="24"/>
              </w:rPr>
              <w:t>采纳</w:t>
            </w:r>
          </w:p>
        </w:tc>
        <w:tc>
          <w:tcPr>
            <w:tcW w:w="2390" w:type="dxa"/>
            <w:noWrap/>
            <w:vAlign w:val="center"/>
          </w:tcPr>
          <w:p>
            <w:pPr>
              <w:jc w:val="center"/>
              <w:rPr>
                <w:rFonts w:ascii="仿宋_GB2312" w:hAnsi="宋体" w:eastAsia="仿宋_GB2312"/>
                <w:sz w:val="24"/>
              </w:rPr>
            </w:pPr>
            <w:r>
              <w:rPr>
                <w:rFonts w:hint="eastAsia" w:ascii="仿宋_GB2312" w:hAnsi="宋体" w:eastAsia="仿宋_GB2312"/>
                <w:sz w:val="24"/>
              </w:rPr>
              <w:t>已修改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exact"/>
        </w:trPr>
        <w:tc>
          <w:tcPr>
            <w:tcW w:w="540" w:type="dxa"/>
            <w:noWrap/>
            <w:vAlign w:val="center"/>
          </w:tcPr>
          <w:p>
            <w:pPr>
              <w:jc w:val="center"/>
              <w:rPr>
                <w:rFonts w:ascii="仿宋_GB2312" w:hAnsi="宋体" w:eastAsia="仿宋_GB2312"/>
                <w:sz w:val="24"/>
              </w:rPr>
            </w:pPr>
            <w:r>
              <w:rPr>
                <w:rFonts w:hint="eastAsia" w:ascii="仿宋_GB2312" w:hAnsi="宋体" w:eastAsia="仿宋_GB2312"/>
                <w:sz w:val="24"/>
              </w:rPr>
              <w:t>7</w:t>
            </w:r>
          </w:p>
        </w:tc>
        <w:tc>
          <w:tcPr>
            <w:tcW w:w="1445" w:type="dxa"/>
            <w:noWrap/>
            <w:vAlign w:val="center"/>
          </w:tcPr>
          <w:p>
            <w:pPr>
              <w:jc w:val="center"/>
              <w:rPr>
                <w:rFonts w:ascii="仿宋_GB2312" w:hAnsi="宋体" w:eastAsia="仿宋_GB2312"/>
                <w:sz w:val="24"/>
              </w:rPr>
            </w:pPr>
            <w:r>
              <w:rPr>
                <w:rFonts w:hint="eastAsia" w:ascii="仿宋_GB2312" w:hAnsi="宋体" w:eastAsia="仿宋_GB2312"/>
                <w:sz w:val="24"/>
              </w:rPr>
              <w:t>8.2.4</w:t>
            </w:r>
          </w:p>
        </w:tc>
        <w:tc>
          <w:tcPr>
            <w:tcW w:w="4678" w:type="dxa"/>
            <w:noWrap/>
            <w:vAlign w:val="center"/>
          </w:tcPr>
          <w:p>
            <w:pPr>
              <w:jc w:val="center"/>
              <w:rPr>
                <w:rFonts w:ascii="仿宋_GB2312" w:hAnsi="宋体" w:eastAsia="仿宋_GB2312"/>
                <w:sz w:val="24"/>
              </w:rPr>
            </w:pPr>
            <w:r>
              <w:rPr>
                <w:rFonts w:hint="eastAsia" w:ascii="仿宋_GB2312" w:hAnsi="宋体" w:eastAsia="仿宋_GB2312"/>
                <w:sz w:val="24"/>
              </w:rPr>
              <w:t>部分农药的喷施浓度可提供稀释范围，在不同情况下使用不同稀释倍数。</w:t>
            </w:r>
          </w:p>
        </w:tc>
        <w:tc>
          <w:tcPr>
            <w:tcW w:w="2551" w:type="dxa"/>
            <w:noWrap/>
            <w:vAlign w:val="center"/>
          </w:tcPr>
          <w:p>
            <w:pPr>
              <w:jc w:val="center"/>
              <w:rPr>
                <w:rFonts w:ascii="仿宋_GB2312" w:hAnsi="宋体" w:eastAsia="仿宋_GB2312"/>
                <w:sz w:val="24"/>
              </w:rPr>
            </w:pPr>
            <w:r>
              <w:rPr>
                <w:rFonts w:hint="eastAsia" w:ascii="仿宋_GB2312" w:hAnsi="宋体" w:eastAsia="仿宋_GB2312"/>
                <w:sz w:val="24"/>
              </w:rPr>
              <w:t>山西省植物保护植物检疫中心</w:t>
            </w:r>
          </w:p>
        </w:tc>
        <w:tc>
          <w:tcPr>
            <w:tcW w:w="2126" w:type="dxa"/>
            <w:noWrap/>
            <w:vAlign w:val="center"/>
          </w:tcPr>
          <w:p>
            <w:pPr>
              <w:jc w:val="center"/>
              <w:rPr>
                <w:rFonts w:ascii="仿宋_GB2312" w:hAnsi="宋体" w:eastAsia="仿宋_GB2312"/>
                <w:sz w:val="24"/>
              </w:rPr>
            </w:pPr>
            <w:r>
              <w:rPr>
                <w:rFonts w:hint="eastAsia" w:ascii="仿宋_GB2312" w:hAnsi="宋体" w:eastAsia="仿宋_GB2312"/>
                <w:sz w:val="24"/>
              </w:rPr>
              <w:t>采纳</w:t>
            </w:r>
          </w:p>
        </w:tc>
        <w:tc>
          <w:tcPr>
            <w:tcW w:w="2390" w:type="dxa"/>
            <w:noWrap/>
            <w:vAlign w:val="center"/>
          </w:tcPr>
          <w:p>
            <w:pPr>
              <w:jc w:val="center"/>
              <w:rPr>
                <w:rFonts w:ascii="仿宋_GB2312" w:hAnsi="宋体" w:eastAsia="仿宋_GB2312"/>
                <w:sz w:val="24"/>
              </w:rPr>
            </w:pPr>
            <w:r>
              <w:rPr>
                <w:rFonts w:hint="eastAsia" w:ascii="仿宋_GB2312" w:hAnsi="宋体" w:eastAsia="仿宋_GB2312"/>
                <w:sz w:val="24"/>
              </w:rPr>
              <w:t>已修改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exact"/>
        </w:trPr>
        <w:tc>
          <w:tcPr>
            <w:tcW w:w="540" w:type="dxa"/>
            <w:noWrap/>
            <w:vAlign w:val="center"/>
          </w:tcPr>
          <w:p>
            <w:pPr>
              <w:jc w:val="center"/>
              <w:rPr>
                <w:rFonts w:ascii="仿宋_GB2312" w:hAnsi="宋体" w:eastAsia="仿宋_GB2312"/>
                <w:sz w:val="24"/>
              </w:rPr>
            </w:pPr>
            <w:r>
              <w:rPr>
                <w:rFonts w:hint="eastAsia" w:ascii="仿宋_GB2312" w:hAnsi="宋体" w:eastAsia="仿宋_GB2312"/>
                <w:sz w:val="24"/>
              </w:rPr>
              <w:t>8</w:t>
            </w:r>
          </w:p>
        </w:tc>
        <w:tc>
          <w:tcPr>
            <w:tcW w:w="1445" w:type="dxa"/>
            <w:noWrap/>
            <w:vAlign w:val="center"/>
          </w:tcPr>
          <w:p>
            <w:pPr>
              <w:jc w:val="center"/>
              <w:rPr>
                <w:rFonts w:ascii="仿宋_GB2312" w:hAnsi="宋体" w:eastAsia="仿宋_GB2312"/>
                <w:sz w:val="24"/>
              </w:rPr>
            </w:pPr>
            <w:r>
              <w:rPr>
                <w:rFonts w:hint="eastAsia" w:ascii="仿宋_GB2312" w:hAnsi="宋体" w:eastAsia="仿宋_GB2312"/>
                <w:sz w:val="24"/>
              </w:rPr>
              <w:t>8.2.4</w:t>
            </w:r>
          </w:p>
        </w:tc>
        <w:tc>
          <w:tcPr>
            <w:tcW w:w="4678" w:type="dxa"/>
            <w:noWrap/>
            <w:vAlign w:val="center"/>
          </w:tcPr>
          <w:p>
            <w:pPr>
              <w:jc w:val="center"/>
              <w:rPr>
                <w:rFonts w:ascii="仿宋_GB2312" w:hAnsi="宋体" w:eastAsia="仿宋_GB2312"/>
                <w:sz w:val="24"/>
              </w:rPr>
            </w:pPr>
            <w:r>
              <w:rPr>
                <w:rFonts w:hint="eastAsia" w:ascii="仿宋_GB2312" w:hAnsi="宋体" w:eastAsia="仿宋_GB2312"/>
                <w:sz w:val="24"/>
              </w:rPr>
              <w:t>虫害防治中，建议将药剂剂型调整为水基性药剂，大量使用乳油剂型药剂，对环境和大白菜毒性较高。</w:t>
            </w:r>
          </w:p>
        </w:tc>
        <w:tc>
          <w:tcPr>
            <w:tcW w:w="2551" w:type="dxa"/>
            <w:noWrap/>
            <w:vAlign w:val="center"/>
          </w:tcPr>
          <w:p>
            <w:pPr>
              <w:jc w:val="center"/>
              <w:rPr>
                <w:rFonts w:ascii="仿宋_GB2312" w:hAnsi="宋体" w:eastAsia="仿宋_GB2312"/>
                <w:sz w:val="24"/>
              </w:rPr>
            </w:pPr>
            <w:r>
              <w:rPr>
                <w:rFonts w:hint="eastAsia" w:ascii="仿宋_GB2312" w:hAnsi="宋体" w:eastAsia="仿宋_GB2312"/>
                <w:sz w:val="24"/>
              </w:rPr>
              <w:t>山西省植物保护植物检疫中心</w:t>
            </w:r>
          </w:p>
        </w:tc>
        <w:tc>
          <w:tcPr>
            <w:tcW w:w="2126" w:type="dxa"/>
            <w:noWrap/>
            <w:vAlign w:val="center"/>
          </w:tcPr>
          <w:p>
            <w:pPr>
              <w:jc w:val="center"/>
              <w:rPr>
                <w:rFonts w:ascii="仿宋_GB2312" w:hAnsi="宋体" w:eastAsia="仿宋_GB2312"/>
                <w:sz w:val="24"/>
              </w:rPr>
            </w:pPr>
            <w:r>
              <w:rPr>
                <w:rFonts w:hint="eastAsia" w:ascii="仿宋_GB2312" w:hAnsi="宋体" w:eastAsia="仿宋_GB2312"/>
                <w:sz w:val="24"/>
              </w:rPr>
              <w:t>采纳</w:t>
            </w:r>
          </w:p>
        </w:tc>
        <w:tc>
          <w:tcPr>
            <w:tcW w:w="2390" w:type="dxa"/>
            <w:noWrap/>
            <w:vAlign w:val="center"/>
          </w:tcPr>
          <w:p>
            <w:pPr>
              <w:jc w:val="center"/>
              <w:rPr>
                <w:rFonts w:ascii="仿宋_GB2312" w:hAnsi="宋体" w:eastAsia="仿宋_GB2312"/>
                <w:sz w:val="24"/>
              </w:rPr>
            </w:pPr>
            <w:r>
              <w:rPr>
                <w:rFonts w:hint="eastAsia" w:ascii="仿宋_GB2312" w:hAnsi="宋体" w:eastAsia="仿宋_GB2312"/>
                <w:sz w:val="24"/>
              </w:rPr>
              <w:t>已修改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1" w:hRule="atLeast"/>
        </w:trPr>
        <w:tc>
          <w:tcPr>
            <w:tcW w:w="540" w:type="dxa"/>
            <w:noWrap/>
            <w:vAlign w:val="center"/>
          </w:tcPr>
          <w:p>
            <w:pPr>
              <w:jc w:val="center"/>
              <w:rPr>
                <w:rFonts w:ascii="仿宋_GB2312" w:hAnsi="宋体" w:eastAsia="仿宋_GB2312"/>
                <w:sz w:val="24"/>
              </w:rPr>
            </w:pPr>
            <w:r>
              <w:rPr>
                <w:rFonts w:hint="eastAsia" w:ascii="仿宋_GB2312" w:hAnsi="宋体" w:eastAsia="仿宋_GB2312"/>
                <w:sz w:val="24"/>
              </w:rPr>
              <w:t>9</w:t>
            </w:r>
          </w:p>
        </w:tc>
        <w:tc>
          <w:tcPr>
            <w:tcW w:w="1445" w:type="dxa"/>
            <w:noWrap/>
            <w:vAlign w:val="center"/>
          </w:tcPr>
          <w:p>
            <w:pPr>
              <w:jc w:val="center"/>
              <w:rPr>
                <w:rFonts w:ascii="仿宋_GB2312" w:hAnsi="宋体" w:eastAsia="仿宋_GB2312"/>
                <w:sz w:val="24"/>
              </w:rPr>
            </w:pPr>
            <w:r>
              <w:rPr>
                <w:rFonts w:hint="eastAsia" w:ascii="仿宋_GB2312" w:hAnsi="宋体" w:eastAsia="仿宋_GB2312"/>
                <w:sz w:val="24"/>
              </w:rPr>
              <w:t>5.5.3</w:t>
            </w:r>
          </w:p>
        </w:tc>
        <w:tc>
          <w:tcPr>
            <w:tcW w:w="4678" w:type="dxa"/>
            <w:noWrap/>
            <w:vAlign w:val="center"/>
          </w:tcPr>
          <w:p>
            <w:pPr>
              <w:jc w:val="center"/>
              <w:rPr>
                <w:rFonts w:ascii="仿宋_GB2312" w:hAnsi="宋体" w:eastAsia="仿宋_GB2312"/>
                <w:sz w:val="24"/>
              </w:rPr>
            </w:pPr>
            <w:r>
              <w:rPr>
                <w:rFonts w:hint="eastAsia" w:ascii="仿宋_GB2312" w:hAnsi="宋体" w:eastAsia="仿宋_GB2312"/>
                <w:sz w:val="24"/>
              </w:rPr>
              <w:t>“机械播种”部分可提供具体机械</w:t>
            </w:r>
          </w:p>
        </w:tc>
        <w:tc>
          <w:tcPr>
            <w:tcW w:w="2551" w:type="dxa"/>
            <w:noWrap/>
            <w:vAlign w:val="center"/>
          </w:tcPr>
          <w:p>
            <w:pPr>
              <w:jc w:val="center"/>
              <w:rPr>
                <w:rFonts w:ascii="仿宋_GB2312" w:hAnsi="宋体" w:eastAsia="仿宋_GB2312"/>
                <w:sz w:val="24"/>
              </w:rPr>
            </w:pPr>
            <w:r>
              <w:rPr>
                <w:rFonts w:hint="eastAsia" w:ascii="仿宋_GB2312" w:hAnsi="宋体" w:eastAsia="仿宋_GB2312"/>
                <w:sz w:val="24"/>
              </w:rPr>
              <w:t>山西科萌种业</w:t>
            </w:r>
          </w:p>
          <w:p>
            <w:pPr>
              <w:jc w:val="center"/>
              <w:rPr>
                <w:rFonts w:ascii="仿宋_GB2312" w:hAnsi="宋体" w:eastAsia="仿宋_GB2312"/>
                <w:sz w:val="24"/>
              </w:rPr>
            </w:pPr>
            <w:r>
              <w:rPr>
                <w:rFonts w:hint="eastAsia" w:ascii="仿宋_GB2312" w:hAnsi="宋体" w:eastAsia="仿宋_GB2312"/>
                <w:sz w:val="24"/>
              </w:rPr>
              <w:t>有限公司</w:t>
            </w:r>
          </w:p>
        </w:tc>
        <w:tc>
          <w:tcPr>
            <w:tcW w:w="2126" w:type="dxa"/>
            <w:noWrap/>
            <w:vAlign w:val="center"/>
          </w:tcPr>
          <w:p>
            <w:pPr>
              <w:jc w:val="center"/>
              <w:rPr>
                <w:rFonts w:ascii="仿宋_GB2312" w:hAnsi="宋体" w:eastAsia="仿宋_GB2312"/>
                <w:sz w:val="24"/>
              </w:rPr>
            </w:pPr>
            <w:r>
              <w:rPr>
                <w:rFonts w:hint="eastAsia" w:ascii="仿宋_GB2312" w:hAnsi="宋体" w:eastAsia="仿宋_GB2312"/>
                <w:sz w:val="24"/>
              </w:rPr>
              <w:t>采纳</w:t>
            </w:r>
          </w:p>
        </w:tc>
        <w:tc>
          <w:tcPr>
            <w:tcW w:w="2390" w:type="dxa"/>
            <w:noWrap/>
            <w:vAlign w:val="center"/>
          </w:tcPr>
          <w:p>
            <w:pPr>
              <w:jc w:val="center"/>
              <w:rPr>
                <w:rFonts w:ascii="仿宋_GB2312" w:hAnsi="宋体" w:eastAsia="仿宋_GB2312"/>
                <w:sz w:val="24"/>
              </w:rPr>
            </w:pPr>
            <w:r>
              <w:rPr>
                <w:rFonts w:hint="eastAsia" w:ascii="仿宋_GB2312" w:hAnsi="宋体" w:eastAsia="仿宋_GB2312"/>
                <w:sz w:val="24"/>
              </w:rPr>
              <w:t>已修改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3" w:hRule="atLeast"/>
        </w:trPr>
        <w:tc>
          <w:tcPr>
            <w:tcW w:w="540" w:type="dxa"/>
            <w:noWrap/>
            <w:vAlign w:val="center"/>
          </w:tcPr>
          <w:p>
            <w:pPr>
              <w:jc w:val="center"/>
              <w:rPr>
                <w:rFonts w:ascii="仿宋_GB2312" w:hAnsi="宋体" w:eastAsia="仿宋_GB2312"/>
                <w:sz w:val="24"/>
              </w:rPr>
            </w:pPr>
            <w:r>
              <w:rPr>
                <w:rFonts w:hint="eastAsia" w:ascii="仿宋_GB2312" w:hAnsi="宋体" w:eastAsia="仿宋_GB2312"/>
                <w:sz w:val="24"/>
              </w:rPr>
              <w:t>10</w:t>
            </w:r>
          </w:p>
        </w:tc>
        <w:tc>
          <w:tcPr>
            <w:tcW w:w="1445" w:type="dxa"/>
            <w:noWrap/>
            <w:vAlign w:val="center"/>
          </w:tcPr>
          <w:p>
            <w:pPr>
              <w:jc w:val="center"/>
              <w:rPr>
                <w:rFonts w:ascii="仿宋_GB2312" w:hAnsi="宋体" w:eastAsia="仿宋_GB2312"/>
                <w:sz w:val="24"/>
              </w:rPr>
            </w:pPr>
            <w:r>
              <w:rPr>
                <w:rFonts w:hint="eastAsia" w:ascii="仿宋_GB2312" w:hAnsi="宋体" w:eastAsia="仿宋_GB2312"/>
                <w:sz w:val="24"/>
              </w:rPr>
              <w:t>8.2.4</w:t>
            </w:r>
          </w:p>
        </w:tc>
        <w:tc>
          <w:tcPr>
            <w:tcW w:w="4678" w:type="dxa"/>
            <w:noWrap/>
            <w:vAlign w:val="center"/>
          </w:tcPr>
          <w:p>
            <w:pPr>
              <w:jc w:val="center"/>
              <w:rPr>
                <w:rFonts w:ascii="仿宋_GB2312" w:hAnsi="宋体" w:eastAsia="仿宋_GB2312"/>
                <w:sz w:val="24"/>
              </w:rPr>
            </w:pPr>
            <w:r>
              <w:rPr>
                <w:rFonts w:hint="eastAsia" w:ascii="仿宋_GB2312" w:hAnsi="宋体" w:eastAsia="仿宋_GB2312"/>
                <w:sz w:val="24"/>
              </w:rPr>
              <w:t>增加病虫害防治部分药品类型，细化喷施浓度及喷施方法。</w:t>
            </w:r>
          </w:p>
        </w:tc>
        <w:tc>
          <w:tcPr>
            <w:tcW w:w="2551" w:type="dxa"/>
            <w:noWrap/>
            <w:vAlign w:val="center"/>
          </w:tcPr>
          <w:p>
            <w:pPr>
              <w:jc w:val="center"/>
              <w:rPr>
                <w:rFonts w:ascii="仿宋_GB2312" w:hAnsi="宋体" w:eastAsia="仿宋_GB2312"/>
                <w:sz w:val="24"/>
              </w:rPr>
            </w:pPr>
            <w:r>
              <w:rPr>
                <w:rFonts w:hint="eastAsia" w:ascii="仿宋_GB2312" w:hAnsi="宋体" w:eastAsia="仿宋_GB2312"/>
                <w:sz w:val="24"/>
              </w:rPr>
              <w:t>寿阳县绿发种植专业合作社</w:t>
            </w:r>
          </w:p>
        </w:tc>
        <w:tc>
          <w:tcPr>
            <w:tcW w:w="2126" w:type="dxa"/>
            <w:noWrap/>
            <w:vAlign w:val="center"/>
          </w:tcPr>
          <w:p>
            <w:pPr>
              <w:jc w:val="center"/>
              <w:rPr>
                <w:rFonts w:ascii="仿宋_GB2312" w:hAnsi="宋体" w:eastAsia="仿宋_GB2312"/>
                <w:sz w:val="24"/>
              </w:rPr>
            </w:pPr>
            <w:r>
              <w:rPr>
                <w:rFonts w:hint="eastAsia" w:ascii="仿宋_GB2312" w:hAnsi="宋体" w:eastAsia="仿宋_GB2312"/>
                <w:sz w:val="24"/>
              </w:rPr>
              <w:t>采纳</w:t>
            </w:r>
          </w:p>
        </w:tc>
        <w:tc>
          <w:tcPr>
            <w:tcW w:w="2390" w:type="dxa"/>
            <w:noWrap/>
            <w:vAlign w:val="center"/>
          </w:tcPr>
          <w:p>
            <w:pPr>
              <w:jc w:val="center"/>
              <w:rPr>
                <w:rFonts w:ascii="仿宋_GB2312" w:hAnsi="宋体" w:eastAsia="仿宋_GB2312"/>
                <w:sz w:val="24"/>
              </w:rPr>
            </w:pPr>
            <w:r>
              <w:rPr>
                <w:rFonts w:hint="eastAsia" w:ascii="仿宋_GB2312" w:hAnsi="宋体" w:eastAsia="仿宋_GB2312"/>
                <w:sz w:val="24"/>
              </w:rPr>
              <w:t>已修改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6" w:hRule="atLeast"/>
        </w:trPr>
        <w:tc>
          <w:tcPr>
            <w:tcW w:w="13730" w:type="dxa"/>
            <w:gridSpan w:val="6"/>
            <w:noWrap/>
            <w:vAlign w:val="center"/>
          </w:tcPr>
          <w:p>
            <w:pPr>
              <w:jc w:val="left"/>
              <w:rPr>
                <w:rFonts w:ascii="仿宋_GB2312" w:hAnsi="宋体" w:eastAsia="仿宋_GB2312"/>
                <w:sz w:val="24"/>
              </w:rPr>
            </w:pPr>
            <w:r>
              <w:rPr>
                <w:rFonts w:ascii="仿宋_GB2312" w:hAnsi="宋体" w:eastAsia="仿宋_GB2312"/>
                <w:sz w:val="24"/>
              </w:rPr>
              <w:t>说明：</w:t>
            </w:r>
            <w:r>
              <w:rPr>
                <w:rFonts w:hint="eastAsia" w:ascii="仿宋_GB2312" w:hAnsi="宋体" w:eastAsia="仿宋_GB2312"/>
                <w:sz w:val="24"/>
              </w:rPr>
              <w:t>1</w:t>
            </w:r>
            <w:r>
              <w:rPr>
                <w:rFonts w:ascii="仿宋_GB2312" w:hAnsi="宋体" w:eastAsia="仿宋_GB2312"/>
                <w:sz w:val="24"/>
              </w:rPr>
              <w:t>、</w:t>
            </w:r>
            <w:r>
              <w:rPr>
                <w:rFonts w:hint="eastAsia" w:ascii="仿宋_GB2312" w:hAnsi="宋体" w:eastAsia="仿宋_GB2312"/>
                <w:sz w:val="24"/>
              </w:rPr>
              <w:t>针对明确回复无意见的单位，请在“意见内容”中注明无意见，在“提出单位”中列出无意见单位的名称。</w:t>
            </w:r>
          </w:p>
          <w:p>
            <w:pPr>
              <w:jc w:val="left"/>
              <w:rPr>
                <w:rFonts w:ascii="宋体" w:hAnsi="宋体" w:cs="宋体"/>
                <w:sz w:val="24"/>
              </w:rPr>
            </w:pPr>
            <w:r>
              <w:rPr>
                <w:rFonts w:hint="eastAsia" w:ascii="仿宋_GB2312" w:hAnsi="宋体" w:eastAsia="仿宋_GB2312"/>
                <w:sz w:val="24"/>
              </w:rPr>
              <w:t>2、发送征求意见稿单位数 5 个；回到征求意见稿回函的单位数 5 个；收到征求意见稿并提出意见的单位数 5 个；没有回函的单位数 0 个；共收到 10 条意见，采纳 10 条意见，部分采纳 0 条意见，未采纳 0 条意见。</w:t>
            </w:r>
          </w:p>
        </w:tc>
      </w:tr>
    </w:tbl>
    <w:p>
      <w:pPr>
        <w:snapToGrid w:val="0"/>
        <w:spacing w:line="360" w:lineRule="auto"/>
      </w:pPr>
    </w:p>
    <w:p>
      <w:pPr>
        <w:jc w:val="center"/>
        <w:rPr>
          <w:rFonts w:ascii="仿宋_GB2312" w:hAnsi="宋体" w:eastAsia="仿宋_GB2312"/>
          <w:color w:val="0000FF"/>
          <w:sz w:val="24"/>
        </w:rPr>
      </w:pPr>
    </w:p>
    <w:sectPr>
      <w:pgSz w:w="16838" w:h="11906" w:orient="landscape"/>
      <w:pgMar w:top="1803" w:right="1440" w:bottom="1803" w:left="1440" w:header="851" w:footer="992" w:gutter="0"/>
      <w:pgNumType w:start="1"/>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Mangal">
    <w:altName w:val="文泉驿微米黑"/>
    <w:panose1 w:val="00000400000000000000"/>
    <w:charset w:val="01"/>
    <w:family w:val="roman"/>
    <w:pitch w:val="default"/>
    <w:sig w:usb0="00000000" w:usb1="00000000" w:usb2="00000000" w:usb3="00000000" w:csb0="00000000" w:csb1="00000000"/>
  </w:font>
  <w:font w:name="仿宋">
    <w:altName w:val="方正仿宋_GBK"/>
    <w:panose1 w:val="02010609060101010101"/>
    <w:charset w:val="86"/>
    <w:family w:val="modern"/>
    <w:pitch w:val="default"/>
    <w:sig w:usb0="00000000" w:usb1="00000000" w:usb2="00000016" w:usb3="00000000" w:csb0="00040001" w:csb1="00000000"/>
  </w:font>
  <w:font w:name="楷体_GB2312">
    <w:altName w:val="方正楷体_GBK"/>
    <w:panose1 w:val="02010609030101010101"/>
    <w:charset w:val="86"/>
    <w:family w:val="modern"/>
    <w:pitch w:val="default"/>
    <w:sig w:usb0="00000000" w:usb1="00000000" w:usb2="00000010" w:usb3="00000000" w:csb0="00040000" w:csb1="00000000"/>
  </w:font>
  <w:font w:name="仿宋_GB2312">
    <w:altName w:val="方正仿宋_GBK"/>
    <w:panose1 w:val="02010609030101010101"/>
    <w:charset w:val="86"/>
    <w:family w:val="modern"/>
    <w:pitch w:val="default"/>
    <w:sig w:usb0="00000000" w:usb1="00000000" w:usb2="00000010" w:usb3="00000000" w:csb0="00040000" w:csb1="00000000"/>
  </w:font>
  <w:font w:name="Courier New">
    <w:altName w:val="DejaVu Sans"/>
    <w:panose1 w:val="02070309020205020404"/>
    <w:charset w:val="00"/>
    <w:family w:val="modern"/>
    <w:pitch w:val="default"/>
    <w:sig w:usb0="00000000" w:usb1="00000000" w:usb2="00000000" w:usb3="00000000" w:csb0="00000001"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文泉驿微米黑">
    <w:panose1 w:val="020B0606030804020204"/>
    <w:charset w:val="86"/>
    <w:family w:val="auto"/>
    <w:pitch w:val="default"/>
    <w:sig w:usb0="E10002EF" w:usb1="6BDFFCFB" w:usb2="00800036" w:usb3="00000000" w:csb0="603E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PAGE   \* MERGEFORMAT</w:instrText>
    </w:r>
    <w:r>
      <w:fldChar w:fldCharType="separate"/>
    </w:r>
    <w:r>
      <w:rPr>
        <w:lang w:val="zh-CN"/>
      </w:rPr>
      <w:t>3</w:t>
    </w:r>
    <w: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B30D03"/>
    <w:multiLevelType w:val="singleLevel"/>
    <w:tmpl w:val="EEB30D03"/>
    <w:lvl w:ilvl="0" w:tentative="0">
      <w:start w:val="6"/>
      <w:numFmt w:val="decimal"/>
      <w:suff w:val="nothing"/>
      <w:lvlText w:val="%1、"/>
      <w:lvlJc w:val="left"/>
    </w:lvl>
  </w:abstractNum>
  <w:abstractNum w:abstractNumId="1">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30"/>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31"/>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60B55DC2"/>
    <w:multiLevelType w:val="multilevel"/>
    <w:tmpl w:val="60B55DC2"/>
    <w:lvl w:ilvl="0" w:tentative="0">
      <w:start w:val="1"/>
      <w:numFmt w:val="upperLetter"/>
      <w:lvlText w:val="%1"/>
      <w:lvlJc w:val="left"/>
      <w:pPr>
        <w:tabs>
          <w:tab w:val="left" w:pos="0"/>
        </w:tabs>
        <w:ind w:left="0" w:hanging="425"/>
      </w:pPr>
      <w:rPr>
        <w:rFonts w:hint="eastAsia"/>
      </w:rPr>
    </w:lvl>
    <w:lvl w:ilvl="1" w:tentative="0">
      <w:start w:val="1"/>
      <w:numFmt w:val="decimal"/>
      <w:pStyle w:val="32"/>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TrackMoves/>
  <w:documentProtection w:enforcement="0"/>
  <w:defaultTabStop w:val="420"/>
  <w:drawingGridHorizontalSpacing w:val="105"/>
  <w:drawingGridVerticalSpacing w:val="159"/>
  <w:displayVerticalDrawingGridEvery w:val="2"/>
  <w:noPunctuationKerning w:val="true"/>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2"/>
  </w:compat>
  <w:docVars>
    <w:docVar w:name="commondata" w:val="eyJoZGlkIjoiMTgyY2Y5Y2UxZjkwY2NiYzg1MTM4ZmQzOTFhYWJhY2IifQ=="/>
  </w:docVars>
  <w:rsids>
    <w:rsidRoot w:val="00636FC5"/>
    <w:rsid w:val="00001C9C"/>
    <w:rsid w:val="00002121"/>
    <w:rsid w:val="00003D4E"/>
    <w:rsid w:val="0001430A"/>
    <w:rsid w:val="000173E8"/>
    <w:rsid w:val="000203B7"/>
    <w:rsid w:val="00021FC1"/>
    <w:rsid w:val="00024D73"/>
    <w:rsid w:val="00025BA5"/>
    <w:rsid w:val="00035FEB"/>
    <w:rsid w:val="000443C0"/>
    <w:rsid w:val="00045395"/>
    <w:rsid w:val="00045C4C"/>
    <w:rsid w:val="000471FB"/>
    <w:rsid w:val="00051B0A"/>
    <w:rsid w:val="00054BA0"/>
    <w:rsid w:val="00061514"/>
    <w:rsid w:val="00073F3B"/>
    <w:rsid w:val="000754B9"/>
    <w:rsid w:val="00080D84"/>
    <w:rsid w:val="00087B70"/>
    <w:rsid w:val="0009360F"/>
    <w:rsid w:val="0009699A"/>
    <w:rsid w:val="000974DE"/>
    <w:rsid w:val="000A23F9"/>
    <w:rsid w:val="000A281F"/>
    <w:rsid w:val="000B59DE"/>
    <w:rsid w:val="000C1548"/>
    <w:rsid w:val="000C203B"/>
    <w:rsid w:val="000C24FA"/>
    <w:rsid w:val="000C2F16"/>
    <w:rsid w:val="000C3919"/>
    <w:rsid w:val="000C5AE1"/>
    <w:rsid w:val="000C62FE"/>
    <w:rsid w:val="000D7E22"/>
    <w:rsid w:val="000E0029"/>
    <w:rsid w:val="000E0518"/>
    <w:rsid w:val="000E5DDF"/>
    <w:rsid w:val="00104D9E"/>
    <w:rsid w:val="001079E4"/>
    <w:rsid w:val="00114B28"/>
    <w:rsid w:val="00136B80"/>
    <w:rsid w:val="00140883"/>
    <w:rsid w:val="001422D2"/>
    <w:rsid w:val="00142DCA"/>
    <w:rsid w:val="001451F2"/>
    <w:rsid w:val="00153E55"/>
    <w:rsid w:val="00155235"/>
    <w:rsid w:val="0016381F"/>
    <w:rsid w:val="0016534D"/>
    <w:rsid w:val="001653E3"/>
    <w:rsid w:val="001657F4"/>
    <w:rsid w:val="00184DC2"/>
    <w:rsid w:val="00195264"/>
    <w:rsid w:val="001A0041"/>
    <w:rsid w:val="001A0916"/>
    <w:rsid w:val="001C0311"/>
    <w:rsid w:val="001C1B81"/>
    <w:rsid w:val="001C2BE8"/>
    <w:rsid w:val="001C3ACE"/>
    <w:rsid w:val="001D06C4"/>
    <w:rsid w:val="001D0957"/>
    <w:rsid w:val="001D7128"/>
    <w:rsid w:val="001E486F"/>
    <w:rsid w:val="001F695E"/>
    <w:rsid w:val="001F7C13"/>
    <w:rsid w:val="001F7CF9"/>
    <w:rsid w:val="0020132D"/>
    <w:rsid w:val="002042E4"/>
    <w:rsid w:val="00211530"/>
    <w:rsid w:val="00213570"/>
    <w:rsid w:val="00217A11"/>
    <w:rsid w:val="002216A8"/>
    <w:rsid w:val="00226A9A"/>
    <w:rsid w:val="00226FD3"/>
    <w:rsid w:val="00227FEE"/>
    <w:rsid w:val="00230DF6"/>
    <w:rsid w:val="00233658"/>
    <w:rsid w:val="00233B76"/>
    <w:rsid w:val="00243164"/>
    <w:rsid w:val="00243B8F"/>
    <w:rsid w:val="00243DA6"/>
    <w:rsid w:val="00243E19"/>
    <w:rsid w:val="00245AFD"/>
    <w:rsid w:val="00247BC6"/>
    <w:rsid w:val="002508ED"/>
    <w:rsid w:val="00252DE5"/>
    <w:rsid w:val="002606D8"/>
    <w:rsid w:val="00261187"/>
    <w:rsid w:val="00267EEC"/>
    <w:rsid w:val="00270C24"/>
    <w:rsid w:val="00273B1D"/>
    <w:rsid w:val="002746DC"/>
    <w:rsid w:val="00277378"/>
    <w:rsid w:val="00277EC1"/>
    <w:rsid w:val="0028564F"/>
    <w:rsid w:val="00285ABA"/>
    <w:rsid w:val="002B52FE"/>
    <w:rsid w:val="002B6A3E"/>
    <w:rsid w:val="002B7335"/>
    <w:rsid w:val="002C169F"/>
    <w:rsid w:val="002C3C6B"/>
    <w:rsid w:val="002D3E11"/>
    <w:rsid w:val="002E04E6"/>
    <w:rsid w:val="002E5A2F"/>
    <w:rsid w:val="003024F7"/>
    <w:rsid w:val="0031028C"/>
    <w:rsid w:val="003150DE"/>
    <w:rsid w:val="00315657"/>
    <w:rsid w:val="003158E5"/>
    <w:rsid w:val="003221E9"/>
    <w:rsid w:val="003259EC"/>
    <w:rsid w:val="00330396"/>
    <w:rsid w:val="003311E6"/>
    <w:rsid w:val="00332318"/>
    <w:rsid w:val="0033472D"/>
    <w:rsid w:val="00336488"/>
    <w:rsid w:val="00342A32"/>
    <w:rsid w:val="003439A2"/>
    <w:rsid w:val="00344D61"/>
    <w:rsid w:val="003469EC"/>
    <w:rsid w:val="00347085"/>
    <w:rsid w:val="003509C0"/>
    <w:rsid w:val="003556E4"/>
    <w:rsid w:val="0036351B"/>
    <w:rsid w:val="00366032"/>
    <w:rsid w:val="003705E8"/>
    <w:rsid w:val="00371543"/>
    <w:rsid w:val="003716D4"/>
    <w:rsid w:val="003925B2"/>
    <w:rsid w:val="00394B25"/>
    <w:rsid w:val="0039560A"/>
    <w:rsid w:val="003A21FE"/>
    <w:rsid w:val="003A5C65"/>
    <w:rsid w:val="003B0DE6"/>
    <w:rsid w:val="003B17F4"/>
    <w:rsid w:val="003B1D77"/>
    <w:rsid w:val="003B7D6F"/>
    <w:rsid w:val="003C3911"/>
    <w:rsid w:val="003D3463"/>
    <w:rsid w:val="003D528A"/>
    <w:rsid w:val="003D6374"/>
    <w:rsid w:val="003D6FB0"/>
    <w:rsid w:val="003E0207"/>
    <w:rsid w:val="003E24D6"/>
    <w:rsid w:val="003E2D3A"/>
    <w:rsid w:val="003F035B"/>
    <w:rsid w:val="003F1FC6"/>
    <w:rsid w:val="003F3EBE"/>
    <w:rsid w:val="00402952"/>
    <w:rsid w:val="004047A2"/>
    <w:rsid w:val="00404C7A"/>
    <w:rsid w:val="00407C56"/>
    <w:rsid w:val="00410C0E"/>
    <w:rsid w:val="00420EB4"/>
    <w:rsid w:val="004240E3"/>
    <w:rsid w:val="00433525"/>
    <w:rsid w:val="00435EF8"/>
    <w:rsid w:val="00441A8F"/>
    <w:rsid w:val="00441B8A"/>
    <w:rsid w:val="0044501D"/>
    <w:rsid w:val="004450AB"/>
    <w:rsid w:val="00451A7E"/>
    <w:rsid w:val="004547E0"/>
    <w:rsid w:val="00461F43"/>
    <w:rsid w:val="0046480C"/>
    <w:rsid w:val="004770BA"/>
    <w:rsid w:val="0048050F"/>
    <w:rsid w:val="00485AB3"/>
    <w:rsid w:val="0049020D"/>
    <w:rsid w:val="004943B6"/>
    <w:rsid w:val="00494F67"/>
    <w:rsid w:val="00495DCD"/>
    <w:rsid w:val="004A0CC0"/>
    <w:rsid w:val="004A2295"/>
    <w:rsid w:val="004A6D81"/>
    <w:rsid w:val="004A7E24"/>
    <w:rsid w:val="004B7966"/>
    <w:rsid w:val="004B7B8C"/>
    <w:rsid w:val="004D4066"/>
    <w:rsid w:val="004D62AF"/>
    <w:rsid w:val="004E42DA"/>
    <w:rsid w:val="004E45D5"/>
    <w:rsid w:val="004E531D"/>
    <w:rsid w:val="004E5AFA"/>
    <w:rsid w:val="004F10CE"/>
    <w:rsid w:val="004F4490"/>
    <w:rsid w:val="004F4EF5"/>
    <w:rsid w:val="004F6A63"/>
    <w:rsid w:val="00504A7B"/>
    <w:rsid w:val="0050538B"/>
    <w:rsid w:val="005119FA"/>
    <w:rsid w:val="00513F60"/>
    <w:rsid w:val="005165DC"/>
    <w:rsid w:val="00532EC9"/>
    <w:rsid w:val="0053409C"/>
    <w:rsid w:val="0053513E"/>
    <w:rsid w:val="005354BE"/>
    <w:rsid w:val="00535FC3"/>
    <w:rsid w:val="00536728"/>
    <w:rsid w:val="0056323B"/>
    <w:rsid w:val="00573771"/>
    <w:rsid w:val="005811F3"/>
    <w:rsid w:val="00582DEA"/>
    <w:rsid w:val="0058589E"/>
    <w:rsid w:val="0059142D"/>
    <w:rsid w:val="005915E3"/>
    <w:rsid w:val="00597C60"/>
    <w:rsid w:val="005A0ED2"/>
    <w:rsid w:val="005A3C89"/>
    <w:rsid w:val="005A42A5"/>
    <w:rsid w:val="005B07C8"/>
    <w:rsid w:val="005B1473"/>
    <w:rsid w:val="005B4A6F"/>
    <w:rsid w:val="005B7CA6"/>
    <w:rsid w:val="005C1F9E"/>
    <w:rsid w:val="005E5E7B"/>
    <w:rsid w:val="005F020B"/>
    <w:rsid w:val="005F3B9E"/>
    <w:rsid w:val="005F3DB9"/>
    <w:rsid w:val="005F5D65"/>
    <w:rsid w:val="005F76FB"/>
    <w:rsid w:val="00604181"/>
    <w:rsid w:val="00604E2D"/>
    <w:rsid w:val="0060567D"/>
    <w:rsid w:val="00611A58"/>
    <w:rsid w:val="00614AA4"/>
    <w:rsid w:val="00616FC1"/>
    <w:rsid w:val="00620469"/>
    <w:rsid w:val="006206EA"/>
    <w:rsid w:val="0063154F"/>
    <w:rsid w:val="00633B19"/>
    <w:rsid w:val="00633EF1"/>
    <w:rsid w:val="00636FC5"/>
    <w:rsid w:val="006400BA"/>
    <w:rsid w:val="00641B9A"/>
    <w:rsid w:val="006423BB"/>
    <w:rsid w:val="00642628"/>
    <w:rsid w:val="006467CA"/>
    <w:rsid w:val="006500A2"/>
    <w:rsid w:val="0066172F"/>
    <w:rsid w:val="00662AD1"/>
    <w:rsid w:val="00663745"/>
    <w:rsid w:val="00670B31"/>
    <w:rsid w:val="006756E6"/>
    <w:rsid w:val="0068404D"/>
    <w:rsid w:val="00691427"/>
    <w:rsid w:val="006915F6"/>
    <w:rsid w:val="006918FB"/>
    <w:rsid w:val="00693173"/>
    <w:rsid w:val="0069777F"/>
    <w:rsid w:val="006A4784"/>
    <w:rsid w:val="006A5225"/>
    <w:rsid w:val="006A7107"/>
    <w:rsid w:val="006B3E2E"/>
    <w:rsid w:val="006C472E"/>
    <w:rsid w:val="006C7054"/>
    <w:rsid w:val="006D0FBE"/>
    <w:rsid w:val="006D1116"/>
    <w:rsid w:val="006E02DD"/>
    <w:rsid w:val="006E1129"/>
    <w:rsid w:val="00702811"/>
    <w:rsid w:val="00706BC0"/>
    <w:rsid w:val="007138B0"/>
    <w:rsid w:val="00713D54"/>
    <w:rsid w:val="00715399"/>
    <w:rsid w:val="00720C80"/>
    <w:rsid w:val="007230A0"/>
    <w:rsid w:val="0072360B"/>
    <w:rsid w:val="0072435E"/>
    <w:rsid w:val="007249D5"/>
    <w:rsid w:val="00730F68"/>
    <w:rsid w:val="00734037"/>
    <w:rsid w:val="0074190C"/>
    <w:rsid w:val="00755C73"/>
    <w:rsid w:val="00757A64"/>
    <w:rsid w:val="00760C71"/>
    <w:rsid w:val="00763867"/>
    <w:rsid w:val="00767B97"/>
    <w:rsid w:val="0077176C"/>
    <w:rsid w:val="00772C34"/>
    <w:rsid w:val="00773A15"/>
    <w:rsid w:val="007743EC"/>
    <w:rsid w:val="00776852"/>
    <w:rsid w:val="00776D66"/>
    <w:rsid w:val="00777B27"/>
    <w:rsid w:val="00791BB3"/>
    <w:rsid w:val="0079399E"/>
    <w:rsid w:val="00795AB4"/>
    <w:rsid w:val="007975E1"/>
    <w:rsid w:val="007A65A0"/>
    <w:rsid w:val="007B0D2E"/>
    <w:rsid w:val="007B2777"/>
    <w:rsid w:val="007B2968"/>
    <w:rsid w:val="007C39F2"/>
    <w:rsid w:val="007C3AD6"/>
    <w:rsid w:val="007C3D18"/>
    <w:rsid w:val="007D08C1"/>
    <w:rsid w:val="007D31A8"/>
    <w:rsid w:val="007E6D31"/>
    <w:rsid w:val="00800843"/>
    <w:rsid w:val="008024F2"/>
    <w:rsid w:val="00807629"/>
    <w:rsid w:val="008125DA"/>
    <w:rsid w:val="00817229"/>
    <w:rsid w:val="00820DFB"/>
    <w:rsid w:val="00821F58"/>
    <w:rsid w:val="008263E7"/>
    <w:rsid w:val="008306CD"/>
    <w:rsid w:val="00840427"/>
    <w:rsid w:val="008449F5"/>
    <w:rsid w:val="0084546C"/>
    <w:rsid w:val="008471EC"/>
    <w:rsid w:val="008519FE"/>
    <w:rsid w:val="00856ECE"/>
    <w:rsid w:val="00862581"/>
    <w:rsid w:val="00863825"/>
    <w:rsid w:val="008729C9"/>
    <w:rsid w:val="00874B45"/>
    <w:rsid w:val="00880EC6"/>
    <w:rsid w:val="00883F25"/>
    <w:rsid w:val="00884A91"/>
    <w:rsid w:val="008935DA"/>
    <w:rsid w:val="008A1B81"/>
    <w:rsid w:val="008A36A4"/>
    <w:rsid w:val="008A699E"/>
    <w:rsid w:val="008A6D37"/>
    <w:rsid w:val="008B7F7F"/>
    <w:rsid w:val="008C1D81"/>
    <w:rsid w:val="008C4583"/>
    <w:rsid w:val="008E256F"/>
    <w:rsid w:val="008E454E"/>
    <w:rsid w:val="008F1AAD"/>
    <w:rsid w:val="008F5288"/>
    <w:rsid w:val="0091113A"/>
    <w:rsid w:val="00915F25"/>
    <w:rsid w:val="009166F0"/>
    <w:rsid w:val="00916E3B"/>
    <w:rsid w:val="00920385"/>
    <w:rsid w:val="009211BD"/>
    <w:rsid w:val="0092160B"/>
    <w:rsid w:val="0092627B"/>
    <w:rsid w:val="00934199"/>
    <w:rsid w:val="009358E1"/>
    <w:rsid w:val="00936A6B"/>
    <w:rsid w:val="00953792"/>
    <w:rsid w:val="009705E2"/>
    <w:rsid w:val="00975940"/>
    <w:rsid w:val="0098254B"/>
    <w:rsid w:val="00983D55"/>
    <w:rsid w:val="0098417D"/>
    <w:rsid w:val="009875C5"/>
    <w:rsid w:val="00991DF6"/>
    <w:rsid w:val="0099572B"/>
    <w:rsid w:val="00996196"/>
    <w:rsid w:val="0099787D"/>
    <w:rsid w:val="009A2FA1"/>
    <w:rsid w:val="009B4E35"/>
    <w:rsid w:val="009C3329"/>
    <w:rsid w:val="009C558A"/>
    <w:rsid w:val="009C596B"/>
    <w:rsid w:val="009C5E73"/>
    <w:rsid w:val="009D5C90"/>
    <w:rsid w:val="009F1169"/>
    <w:rsid w:val="009F39E8"/>
    <w:rsid w:val="009F75FD"/>
    <w:rsid w:val="00A2176F"/>
    <w:rsid w:val="00A25526"/>
    <w:rsid w:val="00A30ABC"/>
    <w:rsid w:val="00A31F81"/>
    <w:rsid w:val="00A37819"/>
    <w:rsid w:val="00A4435A"/>
    <w:rsid w:val="00A4451F"/>
    <w:rsid w:val="00A46A80"/>
    <w:rsid w:val="00A52D3C"/>
    <w:rsid w:val="00A53139"/>
    <w:rsid w:val="00A53AA5"/>
    <w:rsid w:val="00A62ED4"/>
    <w:rsid w:val="00A6637E"/>
    <w:rsid w:val="00A73148"/>
    <w:rsid w:val="00A74F2B"/>
    <w:rsid w:val="00A8184F"/>
    <w:rsid w:val="00A90B3A"/>
    <w:rsid w:val="00A935E8"/>
    <w:rsid w:val="00A9450A"/>
    <w:rsid w:val="00A9569D"/>
    <w:rsid w:val="00AA538B"/>
    <w:rsid w:val="00AA685C"/>
    <w:rsid w:val="00AB297F"/>
    <w:rsid w:val="00AB4A9B"/>
    <w:rsid w:val="00AC0AF2"/>
    <w:rsid w:val="00AC2568"/>
    <w:rsid w:val="00AC7446"/>
    <w:rsid w:val="00AD10B8"/>
    <w:rsid w:val="00AD6B94"/>
    <w:rsid w:val="00AF0D1C"/>
    <w:rsid w:val="00AF58B6"/>
    <w:rsid w:val="00B01F81"/>
    <w:rsid w:val="00B03A6D"/>
    <w:rsid w:val="00B04CAD"/>
    <w:rsid w:val="00B04FD0"/>
    <w:rsid w:val="00B071E5"/>
    <w:rsid w:val="00B104BD"/>
    <w:rsid w:val="00B1146C"/>
    <w:rsid w:val="00B130AF"/>
    <w:rsid w:val="00B22B39"/>
    <w:rsid w:val="00B24ED8"/>
    <w:rsid w:val="00B271DE"/>
    <w:rsid w:val="00B27F8A"/>
    <w:rsid w:val="00B3317B"/>
    <w:rsid w:val="00B36550"/>
    <w:rsid w:val="00B43960"/>
    <w:rsid w:val="00B503CA"/>
    <w:rsid w:val="00B56043"/>
    <w:rsid w:val="00B67E1C"/>
    <w:rsid w:val="00B767B8"/>
    <w:rsid w:val="00B77A1D"/>
    <w:rsid w:val="00B80ADA"/>
    <w:rsid w:val="00B8370A"/>
    <w:rsid w:val="00B85CE2"/>
    <w:rsid w:val="00B877F0"/>
    <w:rsid w:val="00B93351"/>
    <w:rsid w:val="00B95E63"/>
    <w:rsid w:val="00B96E91"/>
    <w:rsid w:val="00BA2CDB"/>
    <w:rsid w:val="00BA3C87"/>
    <w:rsid w:val="00BA595B"/>
    <w:rsid w:val="00BA7A98"/>
    <w:rsid w:val="00BB1509"/>
    <w:rsid w:val="00BB6BC4"/>
    <w:rsid w:val="00BC5FAC"/>
    <w:rsid w:val="00BD5606"/>
    <w:rsid w:val="00BE2554"/>
    <w:rsid w:val="00BE3B52"/>
    <w:rsid w:val="00BE465C"/>
    <w:rsid w:val="00C0419D"/>
    <w:rsid w:val="00C05123"/>
    <w:rsid w:val="00C06C73"/>
    <w:rsid w:val="00C15323"/>
    <w:rsid w:val="00C3286F"/>
    <w:rsid w:val="00C3299F"/>
    <w:rsid w:val="00C33013"/>
    <w:rsid w:val="00C43949"/>
    <w:rsid w:val="00C459D1"/>
    <w:rsid w:val="00C505BD"/>
    <w:rsid w:val="00C561D9"/>
    <w:rsid w:val="00C665D4"/>
    <w:rsid w:val="00C7245E"/>
    <w:rsid w:val="00C76C16"/>
    <w:rsid w:val="00C77D84"/>
    <w:rsid w:val="00C815C4"/>
    <w:rsid w:val="00C84B6C"/>
    <w:rsid w:val="00C93AC5"/>
    <w:rsid w:val="00CA0F6E"/>
    <w:rsid w:val="00CA1614"/>
    <w:rsid w:val="00CA54AC"/>
    <w:rsid w:val="00CA746E"/>
    <w:rsid w:val="00CA7B78"/>
    <w:rsid w:val="00CB117C"/>
    <w:rsid w:val="00CC297A"/>
    <w:rsid w:val="00CC3B0C"/>
    <w:rsid w:val="00CD687E"/>
    <w:rsid w:val="00CD6BB6"/>
    <w:rsid w:val="00CE3B64"/>
    <w:rsid w:val="00CE7C77"/>
    <w:rsid w:val="00CF763D"/>
    <w:rsid w:val="00D002E5"/>
    <w:rsid w:val="00D020CC"/>
    <w:rsid w:val="00D042CB"/>
    <w:rsid w:val="00D10633"/>
    <w:rsid w:val="00D10DC3"/>
    <w:rsid w:val="00D211A9"/>
    <w:rsid w:val="00D259BF"/>
    <w:rsid w:val="00D26281"/>
    <w:rsid w:val="00D27F7C"/>
    <w:rsid w:val="00D46020"/>
    <w:rsid w:val="00D56B74"/>
    <w:rsid w:val="00D57A84"/>
    <w:rsid w:val="00D665A9"/>
    <w:rsid w:val="00D72C03"/>
    <w:rsid w:val="00D81CD3"/>
    <w:rsid w:val="00D9062C"/>
    <w:rsid w:val="00D91C3A"/>
    <w:rsid w:val="00D93605"/>
    <w:rsid w:val="00D9617E"/>
    <w:rsid w:val="00DB07A4"/>
    <w:rsid w:val="00DB0DAB"/>
    <w:rsid w:val="00DB2837"/>
    <w:rsid w:val="00DB2D8F"/>
    <w:rsid w:val="00DB4B2E"/>
    <w:rsid w:val="00DB6514"/>
    <w:rsid w:val="00DB6A89"/>
    <w:rsid w:val="00DC266B"/>
    <w:rsid w:val="00DC4130"/>
    <w:rsid w:val="00DD18A1"/>
    <w:rsid w:val="00DD4471"/>
    <w:rsid w:val="00DE552D"/>
    <w:rsid w:val="00DE5BA8"/>
    <w:rsid w:val="00DE7291"/>
    <w:rsid w:val="00DE73B5"/>
    <w:rsid w:val="00DE7809"/>
    <w:rsid w:val="00DF4B68"/>
    <w:rsid w:val="00E05868"/>
    <w:rsid w:val="00E07594"/>
    <w:rsid w:val="00E11D5F"/>
    <w:rsid w:val="00E15C5B"/>
    <w:rsid w:val="00E23F76"/>
    <w:rsid w:val="00E275CE"/>
    <w:rsid w:val="00E41C96"/>
    <w:rsid w:val="00E42650"/>
    <w:rsid w:val="00E4682B"/>
    <w:rsid w:val="00E47699"/>
    <w:rsid w:val="00E628B1"/>
    <w:rsid w:val="00E71D53"/>
    <w:rsid w:val="00E722BD"/>
    <w:rsid w:val="00E830F6"/>
    <w:rsid w:val="00E87347"/>
    <w:rsid w:val="00E945B0"/>
    <w:rsid w:val="00E94AFD"/>
    <w:rsid w:val="00E957AE"/>
    <w:rsid w:val="00EA6262"/>
    <w:rsid w:val="00EB4480"/>
    <w:rsid w:val="00EB6465"/>
    <w:rsid w:val="00ED6677"/>
    <w:rsid w:val="00EE6530"/>
    <w:rsid w:val="00F00E80"/>
    <w:rsid w:val="00F0713A"/>
    <w:rsid w:val="00F11018"/>
    <w:rsid w:val="00F13F82"/>
    <w:rsid w:val="00F15AF4"/>
    <w:rsid w:val="00F16E22"/>
    <w:rsid w:val="00F17C71"/>
    <w:rsid w:val="00F27339"/>
    <w:rsid w:val="00F37D20"/>
    <w:rsid w:val="00F42342"/>
    <w:rsid w:val="00F44A09"/>
    <w:rsid w:val="00F52378"/>
    <w:rsid w:val="00F54888"/>
    <w:rsid w:val="00F57262"/>
    <w:rsid w:val="00F61A51"/>
    <w:rsid w:val="00F6407D"/>
    <w:rsid w:val="00F64FBB"/>
    <w:rsid w:val="00F67F81"/>
    <w:rsid w:val="00F703AD"/>
    <w:rsid w:val="00F70EA3"/>
    <w:rsid w:val="00F73553"/>
    <w:rsid w:val="00F778B9"/>
    <w:rsid w:val="00F77E65"/>
    <w:rsid w:val="00F8226F"/>
    <w:rsid w:val="00F83543"/>
    <w:rsid w:val="00F84C53"/>
    <w:rsid w:val="00F907D1"/>
    <w:rsid w:val="00F926B8"/>
    <w:rsid w:val="00F9426F"/>
    <w:rsid w:val="00F95F55"/>
    <w:rsid w:val="00F968DC"/>
    <w:rsid w:val="00FA2E27"/>
    <w:rsid w:val="00FA4128"/>
    <w:rsid w:val="00FA6158"/>
    <w:rsid w:val="00FA63F4"/>
    <w:rsid w:val="00FB15E3"/>
    <w:rsid w:val="00FB79BD"/>
    <w:rsid w:val="00FC754C"/>
    <w:rsid w:val="00FD0304"/>
    <w:rsid w:val="00FD3CE4"/>
    <w:rsid w:val="00FD684B"/>
    <w:rsid w:val="03A964DC"/>
    <w:rsid w:val="067B57E2"/>
    <w:rsid w:val="086E27C9"/>
    <w:rsid w:val="0DAF4501"/>
    <w:rsid w:val="111675E5"/>
    <w:rsid w:val="16465E0D"/>
    <w:rsid w:val="1D6E17A5"/>
    <w:rsid w:val="20E05A27"/>
    <w:rsid w:val="23080E27"/>
    <w:rsid w:val="244F71B2"/>
    <w:rsid w:val="263A0DBE"/>
    <w:rsid w:val="2C1764C2"/>
    <w:rsid w:val="2E876B6B"/>
    <w:rsid w:val="3D25D500"/>
    <w:rsid w:val="3EEF98DD"/>
    <w:rsid w:val="3F9FD22F"/>
    <w:rsid w:val="40BA72C4"/>
    <w:rsid w:val="436548A8"/>
    <w:rsid w:val="45625B13"/>
    <w:rsid w:val="470749E1"/>
    <w:rsid w:val="4A227A1C"/>
    <w:rsid w:val="4B071360"/>
    <w:rsid w:val="4EEC4074"/>
    <w:rsid w:val="4F7B247E"/>
    <w:rsid w:val="57D94567"/>
    <w:rsid w:val="5B5E126B"/>
    <w:rsid w:val="5CFF1606"/>
    <w:rsid w:val="5DFFCE9C"/>
    <w:rsid w:val="5FB81DCD"/>
    <w:rsid w:val="60714E01"/>
    <w:rsid w:val="63BD8BA4"/>
    <w:rsid w:val="657B64AF"/>
    <w:rsid w:val="65E2758D"/>
    <w:rsid w:val="663C214A"/>
    <w:rsid w:val="6BFEE3C0"/>
    <w:rsid w:val="6BFF0146"/>
    <w:rsid w:val="6EFD90F7"/>
    <w:rsid w:val="72DE18B7"/>
    <w:rsid w:val="7329008F"/>
    <w:rsid w:val="732D2E0A"/>
    <w:rsid w:val="77C6AB6B"/>
    <w:rsid w:val="77F75794"/>
    <w:rsid w:val="77FF4F98"/>
    <w:rsid w:val="79FF0142"/>
    <w:rsid w:val="7BFB120F"/>
    <w:rsid w:val="7D2E2F11"/>
    <w:rsid w:val="7F7F1836"/>
    <w:rsid w:val="7FDE9EE2"/>
    <w:rsid w:val="93EEA786"/>
    <w:rsid w:val="9CFB7DEA"/>
    <w:rsid w:val="ADAF1DB9"/>
    <w:rsid w:val="B5FF0B5B"/>
    <w:rsid w:val="B76B45F2"/>
    <w:rsid w:val="BCDDF5AD"/>
    <w:rsid w:val="D5FE192F"/>
    <w:rsid w:val="DDDB2668"/>
    <w:rsid w:val="DFFB0938"/>
    <w:rsid w:val="EB7DFDD5"/>
    <w:rsid w:val="EC3D1978"/>
    <w:rsid w:val="FEFFD74D"/>
    <w:rsid w:val="FFFF8C4C"/>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6"/>
    <w:qFormat/>
    <w:uiPriority w:val="99"/>
    <w:pPr>
      <w:keepNext/>
      <w:keepLines/>
      <w:tabs>
        <w:tab w:val="left" w:pos="0"/>
      </w:tabs>
      <w:suppressAutoHyphens/>
      <w:spacing w:before="340" w:after="330" w:line="480" w:lineRule="auto"/>
      <w:ind w:left="432" w:hanging="432"/>
      <w:outlineLvl w:val="0"/>
    </w:pPr>
    <w:rPr>
      <w:b/>
      <w:bCs/>
      <w:kern w:val="1"/>
      <w:sz w:val="44"/>
      <w:szCs w:val="44"/>
      <w:lang w:eastAsia="ar-SA"/>
    </w:rPr>
  </w:style>
  <w:style w:type="paragraph" w:styleId="3">
    <w:name w:val="heading 3"/>
    <w:basedOn w:val="1"/>
    <w:next w:val="1"/>
    <w:link w:val="17"/>
    <w:qFormat/>
    <w:uiPriority w:val="99"/>
    <w:pPr>
      <w:keepNext/>
      <w:keepLines/>
      <w:tabs>
        <w:tab w:val="left" w:pos="0"/>
      </w:tabs>
      <w:suppressAutoHyphens/>
      <w:spacing w:before="260" w:after="260" w:line="412" w:lineRule="auto"/>
      <w:ind w:left="720" w:hanging="720"/>
      <w:outlineLvl w:val="2"/>
    </w:pPr>
    <w:rPr>
      <w:b/>
      <w:bCs/>
      <w:kern w:val="21"/>
      <w:sz w:val="32"/>
      <w:szCs w:val="32"/>
      <w:lang w:eastAsia="ar-SA"/>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caption"/>
    <w:basedOn w:val="1"/>
    <w:next w:val="1"/>
    <w:qFormat/>
    <w:uiPriority w:val="99"/>
    <w:pPr>
      <w:suppressLineNumbers/>
      <w:suppressAutoHyphens/>
      <w:spacing w:before="120" w:after="120"/>
    </w:pPr>
    <w:rPr>
      <w:rFonts w:cs="Mangal"/>
      <w:i/>
      <w:iCs/>
      <w:kern w:val="21"/>
      <w:sz w:val="24"/>
      <w:lang w:eastAsia="ar-SA"/>
    </w:rPr>
  </w:style>
  <w:style w:type="paragraph" w:styleId="6">
    <w:name w:val="Body Text"/>
    <w:basedOn w:val="1"/>
    <w:link w:val="27"/>
    <w:qFormat/>
    <w:uiPriority w:val="0"/>
    <w:pPr>
      <w:spacing w:after="120"/>
    </w:pPr>
  </w:style>
  <w:style w:type="paragraph" w:styleId="7">
    <w:name w:val="Date"/>
    <w:basedOn w:val="1"/>
    <w:next w:val="1"/>
    <w:link w:val="26"/>
    <w:semiHidden/>
    <w:unhideWhenUsed/>
    <w:qFormat/>
    <w:uiPriority w:val="99"/>
    <w:pPr>
      <w:ind w:left="100" w:leftChars="2500"/>
    </w:pPr>
  </w:style>
  <w:style w:type="paragraph" w:styleId="8">
    <w:name w:val="Balloon Text"/>
    <w:basedOn w:val="1"/>
    <w:link w:val="23"/>
    <w:semiHidden/>
    <w:unhideWhenUsed/>
    <w:qFormat/>
    <w:uiPriority w:val="99"/>
    <w:rPr>
      <w:sz w:val="18"/>
      <w:szCs w:val="18"/>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qFormat/>
    <w:uiPriority w:val="99"/>
    <w:rPr>
      <w:rFonts w:cs="Times New Roman"/>
      <w:b/>
    </w:rPr>
  </w:style>
  <w:style w:type="character" w:customStyle="1" w:styleId="16">
    <w:name w:val="标题 1 Char"/>
    <w:link w:val="2"/>
    <w:qFormat/>
    <w:locked/>
    <w:uiPriority w:val="99"/>
    <w:rPr>
      <w:rFonts w:cs="Times New Roman"/>
      <w:b/>
      <w:kern w:val="1"/>
      <w:sz w:val="44"/>
      <w:lang w:eastAsia="ar-SA" w:bidi="ar-SA"/>
    </w:rPr>
  </w:style>
  <w:style w:type="character" w:customStyle="1" w:styleId="17">
    <w:name w:val="标题 3 Char"/>
    <w:link w:val="3"/>
    <w:qFormat/>
    <w:locked/>
    <w:uiPriority w:val="99"/>
    <w:rPr>
      <w:rFonts w:cs="Times New Roman"/>
      <w:b/>
      <w:kern w:val="21"/>
      <w:sz w:val="32"/>
      <w:lang w:eastAsia="ar-SA" w:bidi="ar-SA"/>
    </w:rPr>
  </w:style>
  <w:style w:type="paragraph" w:styleId="18">
    <w:name w:val="List Paragraph"/>
    <w:basedOn w:val="1"/>
    <w:qFormat/>
    <w:uiPriority w:val="99"/>
    <w:pPr>
      <w:suppressAutoHyphens/>
      <w:ind w:firstLine="420" w:firstLineChars="200"/>
    </w:pPr>
    <w:rPr>
      <w:kern w:val="21"/>
      <w:lang w:eastAsia="ar-SA"/>
    </w:rPr>
  </w:style>
  <w:style w:type="paragraph" w:customStyle="1" w:styleId="19">
    <w:name w:val="段"/>
    <w:link w:val="20"/>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0">
    <w:name w:val="段 Char"/>
    <w:link w:val="19"/>
    <w:qFormat/>
    <w:locked/>
    <w:uiPriority w:val="0"/>
    <w:rPr>
      <w:rFonts w:ascii="宋体" w:cs="Times New Roman"/>
      <w:sz w:val="21"/>
      <w:lang w:val="en-US" w:eastAsia="zh-CN" w:bidi="ar-SA"/>
    </w:rPr>
  </w:style>
  <w:style w:type="character" w:customStyle="1" w:styleId="21">
    <w:name w:val="页眉 Char"/>
    <w:link w:val="10"/>
    <w:qFormat/>
    <w:uiPriority w:val="99"/>
    <w:rPr>
      <w:sz w:val="18"/>
      <w:szCs w:val="18"/>
    </w:rPr>
  </w:style>
  <w:style w:type="character" w:customStyle="1" w:styleId="22">
    <w:name w:val="页脚 Char"/>
    <w:link w:val="9"/>
    <w:qFormat/>
    <w:uiPriority w:val="99"/>
    <w:rPr>
      <w:sz w:val="18"/>
      <w:szCs w:val="18"/>
    </w:rPr>
  </w:style>
  <w:style w:type="character" w:customStyle="1" w:styleId="23">
    <w:name w:val="批注框文本 Char"/>
    <w:link w:val="8"/>
    <w:semiHidden/>
    <w:qFormat/>
    <w:uiPriority w:val="99"/>
    <w:rPr>
      <w:kern w:val="2"/>
      <w:sz w:val="18"/>
      <w:szCs w:val="18"/>
    </w:rPr>
  </w:style>
  <w:style w:type="table" w:customStyle="1" w:styleId="24">
    <w:name w:val="浅色底纹1"/>
    <w:basedOn w:val="12"/>
    <w:qFormat/>
    <w:uiPriority w:val="60"/>
    <w:rPr>
      <w:color w:val="000000"/>
    </w:rPr>
    <w:tblPr>
      <w:tblBorders>
        <w:top w:val="single" w:color="000000" w:sz="8" w:space="0"/>
        <w:bottom w:val="single" w:color="000000"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table" w:customStyle="1" w:styleId="25">
    <w:name w:val="浅色底纹2"/>
    <w:basedOn w:val="12"/>
    <w:qFormat/>
    <w:uiPriority w:val="60"/>
    <w:rPr>
      <w:color w:val="000000"/>
    </w:rPr>
    <w:tblPr>
      <w:tblBorders>
        <w:top w:val="single" w:color="000000" w:sz="8" w:space="0"/>
        <w:bottom w:val="single" w:color="000000"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character" w:customStyle="1" w:styleId="26">
    <w:name w:val="日期 Char"/>
    <w:basedOn w:val="14"/>
    <w:link w:val="7"/>
    <w:semiHidden/>
    <w:qFormat/>
    <w:uiPriority w:val="99"/>
    <w:rPr>
      <w:kern w:val="2"/>
      <w:sz w:val="21"/>
      <w:szCs w:val="24"/>
    </w:rPr>
  </w:style>
  <w:style w:type="character" w:customStyle="1" w:styleId="27">
    <w:name w:val="正文文本 Char"/>
    <w:basedOn w:val="14"/>
    <w:link w:val="6"/>
    <w:qFormat/>
    <w:uiPriority w:val="0"/>
    <w:rPr>
      <w:kern w:val="2"/>
      <w:sz w:val="21"/>
      <w:szCs w:val="24"/>
    </w:rPr>
  </w:style>
  <w:style w:type="paragraph" w:customStyle="1" w:styleId="28">
    <w:name w:val="标准文件_段"/>
    <w:link w:val="29"/>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9">
    <w:name w:val="标准文件_段 Char"/>
    <w:link w:val="28"/>
    <w:qFormat/>
    <w:uiPriority w:val="0"/>
    <w:rPr>
      <w:rFonts w:ascii="宋体"/>
      <w:sz w:val="21"/>
    </w:rPr>
  </w:style>
  <w:style w:type="paragraph" w:customStyle="1" w:styleId="30">
    <w:name w:val="一级条标题"/>
    <w:next w:val="19"/>
    <w:qFormat/>
    <w:uiPriority w:val="0"/>
    <w:pPr>
      <w:numPr>
        <w:ilvl w:val="1"/>
        <w:numId w:val="1"/>
      </w:numPr>
      <w:spacing w:beforeLines="50" w:afterLines="50"/>
      <w:outlineLvl w:val="2"/>
    </w:pPr>
    <w:rPr>
      <w:rFonts w:ascii="黑体" w:hAnsi="Times New Roman" w:eastAsia="黑体" w:cs="Times New Roman"/>
      <w:sz w:val="21"/>
      <w:szCs w:val="21"/>
      <w:lang w:val="en-US" w:eastAsia="zh-CN" w:bidi="ar-SA"/>
    </w:rPr>
  </w:style>
  <w:style w:type="paragraph" w:customStyle="1" w:styleId="31">
    <w:name w:val="二级条标题"/>
    <w:basedOn w:val="30"/>
    <w:next w:val="19"/>
    <w:qFormat/>
    <w:uiPriority w:val="0"/>
    <w:pPr>
      <w:numPr>
        <w:ilvl w:val="2"/>
      </w:numPr>
      <w:spacing w:before="50" w:after="50"/>
      <w:outlineLvl w:val="3"/>
    </w:pPr>
  </w:style>
  <w:style w:type="paragraph" w:customStyle="1" w:styleId="32">
    <w:name w:val="附录表标题"/>
    <w:basedOn w:val="1"/>
    <w:next w:val="19"/>
    <w:qFormat/>
    <w:uiPriority w:val="0"/>
    <w:pPr>
      <w:numPr>
        <w:ilvl w:val="1"/>
        <w:numId w:val="2"/>
      </w:numPr>
      <w:tabs>
        <w:tab w:val="left" w:pos="180"/>
      </w:tabs>
      <w:spacing w:beforeLines="50" w:afterLines="50"/>
      <w:ind w:left="0" w:firstLine="0"/>
      <w:jc w:val="center"/>
    </w:pPr>
    <w:rPr>
      <w:rFonts w:ascii="黑体" w:eastAsia="黑体"/>
      <w:szCs w:val="21"/>
    </w:rPr>
  </w:style>
  <w:style w:type="paragraph" w:customStyle="1" w:styleId="33">
    <w:name w:val="a2"/>
    <w:basedOn w:val="1"/>
    <w:qFormat/>
    <w:uiPriority w:val="0"/>
    <w:pPr>
      <w:widowControl/>
      <w:spacing w:before="100" w:beforeAutospacing="1" w:after="100" w:afterAutospacing="1"/>
      <w:jc w:val="left"/>
    </w:pPr>
    <w:rPr>
      <w:rFonts w:ascii="宋体" w:hAnsi="宋体" w:cs="宋体"/>
      <w:kern w:val="0"/>
      <w:sz w:val="24"/>
    </w:rPr>
  </w:style>
  <w:style w:type="character" w:customStyle="1" w:styleId="34">
    <w:name w:val="fontstyle01"/>
    <w:basedOn w:val="14"/>
    <w:qFormat/>
    <w:uiPriority w:val="0"/>
    <w:rPr>
      <w:rFonts w:hint="eastAsia" w:ascii="黑体" w:hAnsi="黑体" w:eastAsia="黑体"/>
      <w:color w:val="000000"/>
      <w:sz w:val="22"/>
      <w:szCs w:val="22"/>
    </w:rPr>
  </w:style>
  <w:style w:type="character" w:customStyle="1" w:styleId="35">
    <w:name w:val="fontstyle21"/>
    <w:basedOn w:val="14"/>
    <w:qFormat/>
    <w:uiPriority w:val="0"/>
    <w:rPr>
      <w:rFonts w:hint="default" w:ascii="Calibri" w:hAnsi="Calibri" w:cs="Calibri"/>
      <w:color w:val="00000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9</Pages>
  <Words>837</Words>
  <Characters>4774</Characters>
  <Lines>39</Lines>
  <Paragraphs>11</Paragraphs>
  <TotalTime>0</TotalTime>
  <ScaleCrop>false</ScaleCrop>
  <LinksUpToDate>false</LinksUpToDate>
  <CharactersWithSpaces>5600</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2016-02-25T07:17:00Z</dcterms:created>
  <dc:creator>lenovo</dc:creator>
  <cp:lastModifiedBy>baixin</cp:lastModifiedBy>
  <cp:lastPrinted>2017-01-19T07:31:00Z</cp:lastPrinted>
  <dcterms:modified xsi:type="dcterms:W3CDTF">2024-07-29T11:33:23Z</dcterms:modified>
  <cp:revision>537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715EE363D8AD41389C87670F1BC00120_13</vt:lpwstr>
  </property>
</Properties>
</file>